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CD2D6B" w:rsidRDefault="00370E8B" w:rsidP="00CD2D6B">
      <w:pPr>
        <w:spacing w:after="0" w:line="480" w:lineRule="auto"/>
        <w:contextualSpacing/>
        <w:jc w:val="center"/>
        <w:rPr>
          <w:rFonts w:ascii="Times New Roman" w:hAnsi="Times New Roman" w:cs="Times New Roman"/>
          <w:sz w:val="24"/>
          <w:szCs w:val="24"/>
        </w:rPr>
      </w:pPr>
    </w:p>
    <w:p w:rsidR="00370E8B" w:rsidRPr="00AD2C64" w:rsidRDefault="0022136D" w:rsidP="00CD2D6B">
      <w:pPr>
        <w:spacing w:after="0" w:line="480" w:lineRule="auto"/>
        <w:contextualSpacing/>
        <w:jc w:val="center"/>
        <w:rPr>
          <w:rFonts w:ascii="Times New Roman" w:hAnsi="Times New Roman" w:cs="Times New Roman"/>
          <w:b/>
          <w:sz w:val="24"/>
          <w:szCs w:val="24"/>
        </w:rPr>
      </w:pPr>
      <w:r w:rsidRPr="00AD2C64">
        <w:rPr>
          <w:rFonts w:ascii="Times New Roman" w:hAnsi="Times New Roman" w:cs="Times New Roman"/>
          <w:b/>
          <w:sz w:val="24"/>
          <w:szCs w:val="24"/>
        </w:rPr>
        <w:t>The Cost Of Living</w:t>
      </w:r>
    </w:p>
    <w:p w:rsidR="00AD2C64" w:rsidRPr="007F7852" w:rsidRDefault="0022136D" w:rsidP="00AD2C64">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Student Full Name</w:t>
      </w:r>
    </w:p>
    <w:p w:rsidR="00AD2C64" w:rsidRPr="007F7852" w:rsidRDefault="0022136D" w:rsidP="00AD2C64">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Institutional Affiliation</w:t>
      </w:r>
    </w:p>
    <w:p w:rsidR="00AD2C64" w:rsidRPr="007F7852" w:rsidRDefault="0022136D" w:rsidP="00AD2C64">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Instructor</w:t>
      </w:r>
    </w:p>
    <w:p w:rsidR="00AD2C64" w:rsidRPr="007F7852" w:rsidRDefault="0022136D" w:rsidP="00AD2C64">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Course</w:t>
      </w:r>
    </w:p>
    <w:p w:rsidR="00AD2C64" w:rsidRPr="007F7852" w:rsidRDefault="0022136D" w:rsidP="00AD2C64">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Due date</w:t>
      </w:r>
    </w:p>
    <w:p w:rsidR="00370E8B" w:rsidRDefault="00370E8B"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Default="00AD2C64" w:rsidP="00CD2D6B">
      <w:pPr>
        <w:spacing w:after="0" w:line="480" w:lineRule="auto"/>
        <w:contextualSpacing/>
        <w:rPr>
          <w:rFonts w:ascii="Times New Roman" w:eastAsia="Times New Roman" w:hAnsi="Times New Roman" w:cs="Times New Roman"/>
          <w:b/>
          <w:color w:val="363636"/>
          <w:sz w:val="24"/>
          <w:szCs w:val="24"/>
        </w:rPr>
      </w:pPr>
    </w:p>
    <w:p w:rsidR="00AD2C64" w:rsidRPr="00CD2D6B" w:rsidRDefault="00AD2C64" w:rsidP="00CD2D6B">
      <w:pPr>
        <w:spacing w:after="0" w:line="480" w:lineRule="auto"/>
        <w:contextualSpacing/>
        <w:rPr>
          <w:rFonts w:ascii="Times New Roman" w:eastAsia="Times New Roman" w:hAnsi="Times New Roman" w:cs="Times New Roman"/>
          <w:b/>
          <w:color w:val="363636"/>
          <w:sz w:val="24"/>
          <w:szCs w:val="24"/>
        </w:rPr>
      </w:pPr>
    </w:p>
    <w:p w:rsidR="00370E8B" w:rsidRPr="00CD2D6B" w:rsidRDefault="0022136D" w:rsidP="00CD2D6B">
      <w:pPr>
        <w:spacing w:after="0" w:line="480" w:lineRule="auto"/>
        <w:contextualSpacing/>
        <w:rPr>
          <w:rFonts w:ascii="Times New Roman" w:eastAsia="Times New Roman" w:hAnsi="Times New Roman" w:cs="Times New Roman"/>
          <w:b/>
          <w:color w:val="363636"/>
          <w:sz w:val="24"/>
          <w:szCs w:val="24"/>
        </w:rPr>
      </w:pPr>
      <w:r w:rsidRPr="00CD2D6B">
        <w:rPr>
          <w:rFonts w:ascii="Times New Roman" w:hAnsi="Times New Roman" w:cs="Times New Roman"/>
          <w:sz w:val="24"/>
          <w:szCs w:val="24"/>
        </w:rPr>
        <w:lastRenderedPageBreak/>
        <w:t>The Cost Of Living</w:t>
      </w:r>
    </w:p>
    <w:p w:rsidR="00370E8B" w:rsidRPr="00CD2D6B" w:rsidRDefault="0022136D" w:rsidP="00CD2D6B">
      <w:p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b/>
          <w:color w:val="363636"/>
          <w:sz w:val="24"/>
          <w:szCs w:val="24"/>
        </w:rPr>
        <w:t>Title:</w:t>
      </w:r>
      <w:r w:rsidR="00EA23E0">
        <w:rPr>
          <w:rFonts w:ascii="Times New Roman" w:eastAsia="Times New Roman" w:hAnsi="Times New Roman" w:cs="Times New Roman"/>
          <w:b/>
          <w:color w:val="363636"/>
          <w:sz w:val="24"/>
          <w:szCs w:val="24"/>
        </w:rPr>
        <w:t xml:space="preserve"> </w:t>
      </w:r>
      <w:r w:rsidRPr="00CD2D6B">
        <w:rPr>
          <w:rFonts w:ascii="Times New Roman" w:eastAsia="Times New Roman" w:hAnsi="Times New Roman" w:cs="Times New Roman"/>
          <w:color w:val="141412"/>
          <w:sz w:val="24"/>
          <w:szCs w:val="24"/>
        </w:rPr>
        <w:t>To Identifying Relationships Between Variables that cause the cost of living in Alexandria, VA, United States.</w:t>
      </w:r>
    </w:p>
    <w:p w:rsidR="00370E8B" w:rsidRPr="00CD2D6B" w:rsidRDefault="00370E8B" w:rsidP="00CD2D6B">
      <w:pPr>
        <w:shd w:val="clear" w:color="auto" w:fill="FFFFFF"/>
        <w:spacing w:after="0" w:line="480" w:lineRule="auto"/>
        <w:contextualSpacing/>
        <w:rPr>
          <w:rFonts w:ascii="Times New Roman" w:eastAsia="Times New Roman" w:hAnsi="Times New Roman" w:cs="Times New Roman"/>
          <w:color w:val="363636"/>
          <w:sz w:val="24"/>
          <w:szCs w:val="24"/>
        </w:rPr>
      </w:pPr>
    </w:p>
    <w:p w:rsidR="00370E8B" w:rsidRPr="00CD2D6B" w:rsidRDefault="0022136D" w:rsidP="00CD2D6B">
      <w:pPr>
        <w:shd w:val="clear" w:color="auto" w:fill="FFFFFF"/>
        <w:spacing w:after="0" w:line="480" w:lineRule="auto"/>
        <w:contextualSpacing/>
        <w:rPr>
          <w:rFonts w:ascii="Times New Roman" w:eastAsia="Times New Roman" w:hAnsi="Times New Roman" w:cs="Times New Roman"/>
          <w:b/>
          <w:color w:val="363636"/>
          <w:sz w:val="24"/>
          <w:szCs w:val="24"/>
        </w:rPr>
      </w:pPr>
      <w:r w:rsidRPr="00CD2D6B">
        <w:rPr>
          <w:rFonts w:ascii="Times New Roman" w:eastAsia="Times New Roman" w:hAnsi="Times New Roman" w:cs="Times New Roman"/>
          <w:b/>
          <w:color w:val="363636"/>
          <w:sz w:val="24"/>
          <w:szCs w:val="24"/>
        </w:rPr>
        <w:t>Introduction</w:t>
      </w:r>
    </w:p>
    <w:p w:rsidR="00EA23E0" w:rsidRDefault="0022136D" w:rsidP="00EA23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Alexandria is a former British colony situated in Virginia, USA. The city is located along the Potomac River, on the western side. The population in 2016 was estimated to be 155,810 people. The city's major population comprises people U.S military, federal civil service, and other companies providing services to the federal government under contract. The major employers of the Alexandria population are the institute of defense analysis, the National Science Foundation, the United States, Patent and Trademark Office, and the U.S defense department. Alexandria is also home to many organizations, profit and non-profit, religious centers, charities, trade associations, among many others. Approximately 87 percent of the people working in the city commute while 13 percent of the </w:t>
      </w:r>
      <w:r w:rsidR="00B82DC9">
        <w:rPr>
          <w:rFonts w:ascii="Times New Roman" w:hAnsi="Times New Roman" w:cs="Times New Roman"/>
          <w:sz w:val="24"/>
          <w:szCs w:val="24"/>
        </w:rPr>
        <w:t>workforce lives</w:t>
      </w:r>
      <w:r>
        <w:rPr>
          <w:rFonts w:ascii="Times New Roman" w:hAnsi="Times New Roman" w:cs="Times New Roman"/>
          <w:sz w:val="24"/>
          <w:szCs w:val="24"/>
        </w:rPr>
        <w:t xml:space="preserve"> in the city.</w:t>
      </w:r>
    </w:p>
    <w:p w:rsidR="00EA23E0" w:rsidRDefault="0022136D" w:rsidP="00EA23E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basic costs include rent, electricity bills, healthcare, food, childcare (kindergarten/nursery school fees), and transportation.  On the analysis done, the cost of living index with rent exempted is 1,213.78 dollars for one person, an amount which increases to 4,421.70 dollars for four people without rent. In the rank on the cost of living, Alexandria is in the 26</w:t>
      </w:r>
      <w:r w:rsidRPr="00A941CF">
        <w:rPr>
          <w:rFonts w:ascii="Times New Roman" w:hAnsi="Times New Roman" w:cs="Times New Roman"/>
          <w:sz w:val="24"/>
          <w:szCs w:val="24"/>
          <w:vertAlign w:val="superscript"/>
        </w:rPr>
        <w:t>th</w:t>
      </w:r>
      <w:r>
        <w:rPr>
          <w:rFonts w:ascii="Times New Roman" w:hAnsi="Times New Roman" w:cs="Times New Roman"/>
          <w:sz w:val="24"/>
          <w:szCs w:val="24"/>
        </w:rPr>
        <w:t xml:space="preserve"> out of two hundred and fifty-seven cities. The cost of living index for Alexandria is at 90.58. The cost of living, as statistics show, is 56.1% higher than the average national.  In 2020 the prices went up by an average of 3.1 percent, with the largest increase being transportation, housing, and food. </w:t>
      </w:r>
    </w:p>
    <w:p w:rsidR="00EA23E0" w:rsidRDefault="00EA23E0" w:rsidP="00EA23E0">
      <w:pPr>
        <w:spacing w:line="480" w:lineRule="auto"/>
        <w:rPr>
          <w:rFonts w:ascii="Times New Roman" w:hAnsi="Times New Roman" w:cs="Times New Roman"/>
          <w:sz w:val="24"/>
          <w:szCs w:val="24"/>
        </w:rPr>
      </w:pPr>
    </w:p>
    <w:p w:rsidR="00EA23E0" w:rsidRDefault="00EA23E0" w:rsidP="00EA23E0">
      <w:pPr>
        <w:spacing w:line="480" w:lineRule="auto"/>
        <w:ind w:firstLine="720"/>
        <w:rPr>
          <w:rFonts w:ascii="Times New Roman" w:hAnsi="Times New Roman" w:cs="Times New Roman"/>
          <w:sz w:val="24"/>
          <w:szCs w:val="24"/>
        </w:rPr>
      </w:pPr>
    </w:p>
    <w:p w:rsidR="00EA23E0" w:rsidRDefault="0022136D" w:rsidP="00EA23E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analysis was done on the cost of living and the data obtained from the national cost of living statistics board. The data was then presented on a scatter line graph to indicate the significance of the regression model.  The scatter linear graph figure indicates a positive linear relationship between the variables and the costs indicated.</w:t>
      </w:r>
    </w:p>
    <w:p w:rsidR="00370E8B" w:rsidRPr="00B82DC9" w:rsidRDefault="0022136D" w:rsidP="00B82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cost of living varies from person-person depending on factors such as lifestyle and family size</w:t>
      </w:r>
      <w:r w:rsidR="00295986" w:rsidRPr="00295986">
        <w:t xml:space="preserve"> </w:t>
      </w:r>
      <w:r w:rsidR="00295986">
        <w:t>(Tan, et al, 2020)</w:t>
      </w:r>
      <w:r>
        <w:rPr>
          <w:rFonts w:ascii="Times New Roman" w:hAnsi="Times New Roman" w:cs="Times New Roman"/>
          <w:sz w:val="24"/>
          <w:szCs w:val="24"/>
        </w:rPr>
        <w:t>. A varied example is where one works in the city; therefore, work is located at just a walking distance. Therefore, the cost of living would be lower compared to one living at a place where they'd have to commute daily, paying for transport in a subway or fuel expenses. Childcare costs may vary with the needs of particular children and their age. Very young children require more specialized care due to their greater attention demand. On the other hand, older children who require less attention can be taken to a general school, hence reducing child care expenses. Families with more children would also undergo higher costs compared to families with few or no children.</w:t>
      </w:r>
    </w:p>
    <w:p w:rsidR="00370E8B" w:rsidRDefault="0022136D" w:rsidP="00CD2D6B">
      <w:pPr>
        <w:shd w:val="clear" w:color="auto" w:fill="FFFFFF"/>
        <w:spacing w:after="0" w:line="480" w:lineRule="auto"/>
        <w:contextualSpacing/>
        <w:rPr>
          <w:rFonts w:ascii="Times New Roman" w:eastAsia="Times New Roman" w:hAnsi="Times New Roman" w:cs="Times New Roman"/>
          <w:b/>
          <w:color w:val="363636"/>
          <w:sz w:val="24"/>
          <w:szCs w:val="24"/>
        </w:rPr>
      </w:pPr>
      <w:r w:rsidRPr="00CD2D6B">
        <w:rPr>
          <w:rFonts w:ascii="Times New Roman" w:eastAsia="Times New Roman" w:hAnsi="Times New Roman" w:cs="Times New Roman"/>
          <w:b/>
          <w:color w:val="363636"/>
          <w:sz w:val="24"/>
          <w:szCs w:val="24"/>
        </w:rPr>
        <w:t>Design and Analysis</w:t>
      </w:r>
    </w:p>
    <w:p w:rsidR="00CD2D6B" w:rsidRPr="00B82DC9" w:rsidRDefault="0022136D" w:rsidP="00B82DC9">
      <w:pPr>
        <w:spacing w:after="0" w:line="480" w:lineRule="auto"/>
        <w:ind w:firstLine="720"/>
        <w:contextualSpacing/>
        <w:rPr>
          <w:rFonts w:ascii="Times New Roman" w:hAnsi="Times New Roman" w:cs="Times New Roman"/>
          <w:sz w:val="24"/>
          <w:szCs w:val="24"/>
        </w:rPr>
      </w:pPr>
      <w:r w:rsidRPr="00B82DC9">
        <w:rPr>
          <w:rFonts w:ascii="Times New Roman" w:hAnsi="Times New Roman" w:cs="Times New Roman"/>
          <w:sz w:val="24"/>
          <w:szCs w:val="24"/>
        </w:rPr>
        <w:t>The data five variables with its associate costs were analyzed using Excel. Data analysis was in line with specific objectives where patterns were investigated, interpreted and implications drawn on them. Scatter plot, linear model, and was done to determine the relationship between the variables and the trend.</w:t>
      </w:r>
      <w:r w:rsidR="00AD2C64" w:rsidRPr="00B82DC9">
        <w:rPr>
          <w:rFonts w:ascii="Times New Roman" w:hAnsi="Times New Roman" w:cs="Times New Roman"/>
          <w:sz w:val="24"/>
          <w:szCs w:val="24"/>
        </w:rPr>
        <w:t xml:space="preserve"> </w:t>
      </w:r>
      <w:r w:rsidRPr="00B82DC9">
        <w:rPr>
          <w:rFonts w:ascii="Times New Roman" w:hAnsi="Times New Roman" w:cs="Times New Roman"/>
          <w:sz w:val="24"/>
          <w:szCs w:val="24"/>
        </w:rPr>
        <w:t>A correlation was also done to aids in locating the critically important variables on which others depend</w:t>
      </w:r>
    </w:p>
    <w:p w:rsidR="00370E8B" w:rsidRPr="00CD2D6B" w:rsidRDefault="0022136D" w:rsidP="00CD2D6B">
      <w:pPr>
        <w:shd w:val="clear" w:color="auto" w:fill="FFFFFF"/>
        <w:spacing w:after="0" w:line="480" w:lineRule="auto"/>
        <w:contextualSpacing/>
        <w:rPr>
          <w:rFonts w:ascii="Times New Roman" w:eastAsia="Times New Roman" w:hAnsi="Times New Roman" w:cs="Times New Roman"/>
          <w:b/>
          <w:color w:val="363636"/>
          <w:sz w:val="24"/>
          <w:szCs w:val="24"/>
        </w:rPr>
      </w:pPr>
      <w:r w:rsidRPr="00CD2D6B">
        <w:rPr>
          <w:rFonts w:ascii="Times New Roman" w:eastAsia="Times New Roman" w:hAnsi="Times New Roman" w:cs="Times New Roman"/>
          <w:b/>
          <w:color w:val="363636"/>
          <w:sz w:val="24"/>
          <w:szCs w:val="24"/>
        </w:rPr>
        <w:t>Findings</w:t>
      </w:r>
    </w:p>
    <w:p w:rsidR="00370E8B" w:rsidRPr="00CD2D6B" w:rsidRDefault="0022136D" w:rsidP="00CD2D6B">
      <w:pPr>
        <w:spacing w:after="0" w:line="480" w:lineRule="auto"/>
        <w:contextualSpacing/>
        <w:rPr>
          <w:rFonts w:ascii="Times New Roman" w:hAnsi="Times New Roman" w:cs="Times New Roman"/>
          <w:sz w:val="24"/>
          <w:szCs w:val="24"/>
        </w:rPr>
      </w:pPr>
      <w:r w:rsidRPr="00CD2D6B">
        <w:rPr>
          <w:rFonts w:ascii="Times New Roman" w:hAnsi="Times New Roman" w:cs="Times New Roman"/>
          <w:sz w:val="24"/>
          <w:szCs w:val="24"/>
        </w:rPr>
        <w:t>Equation of the linear model equation</w:t>
      </w:r>
    </w:p>
    <w:p w:rsidR="00370E8B" w:rsidRPr="00CD2D6B" w:rsidRDefault="0022136D" w:rsidP="00CD2D6B">
      <w:pPr>
        <w:spacing w:after="0" w:line="480" w:lineRule="auto"/>
        <w:contextualSpacing/>
        <w:rPr>
          <w:rFonts w:ascii="Times New Roman" w:hAnsi="Times New Roman" w:cs="Times New Roman"/>
          <w:sz w:val="24"/>
          <w:szCs w:val="24"/>
        </w:rPr>
      </w:pPr>
      <w:r w:rsidRPr="00CD2D6B">
        <w:rPr>
          <w:rFonts w:ascii="Times New Roman" w:hAnsi="Times New Roman" w:cs="Times New Roman"/>
          <w:sz w:val="24"/>
          <w:szCs w:val="24"/>
        </w:rPr>
        <w:t>y = 1397.6x - 2208.4</w:t>
      </w:r>
    </w:p>
    <w:p w:rsidR="00370E8B" w:rsidRPr="00CD2D6B" w:rsidRDefault="0022136D" w:rsidP="00CD2D6B">
      <w:pPr>
        <w:spacing w:after="0" w:line="480" w:lineRule="auto"/>
        <w:contextualSpacing/>
        <w:rPr>
          <w:rFonts w:ascii="Times New Roman" w:hAnsi="Times New Roman" w:cs="Times New Roman"/>
          <w:sz w:val="24"/>
          <w:szCs w:val="24"/>
        </w:rPr>
      </w:pPr>
      <w:r w:rsidRPr="00CD2D6B">
        <w:rPr>
          <w:rFonts w:ascii="Times New Roman" w:hAnsi="Times New Roman" w:cs="Times New Roman"/>
          <w:sz w:val="24"/>
          <w:szCs w:val="24"/>
        </w:rPr>
        <w:t>1397.6 is the slope of the line, -2208.4 is the intercept</w:t>
      </w:r>
    </w:p>
    <w:p w:rsidR="00370E8B" w:rsidRPr="00CD2D6B" w:rsidRDefault="0022136D" w:rsidP="00CD2D6B">
      <w:pPr>
        <w:spacing w:after="0" w:line="480" w:lineRule="auto"/>
        <w:contextualSpacing/>
        <w:rPr>
          <w:rFonts w:ascii="Times New Roman" w:hAnsi="Times New Roman" w:cs="Times New Roman"/>
          <w:sz w:val="24"/>
          <w:szCs w:val="24"/>
        </w:rPr>
      </w:pPr>
      <w:r w:rsidRPr="00CD2D6B">
        <w:rPr>
          <w:rFonts w:ascii="Times New Roman" w:hAnsi="Times New Roman" w:cs="Times New Roman"/>
          <w:sz w:val="24"/>
          <w:szCs w:val="24"/>
        </w:rPr>
        <w:t>The slope predicts the change in y when x increases by one unit. As the variables increases by one unit, the cost is the associate decreases by 2208.4.</w:t>
      </w:r>
    </w:p>
    <w:p w:rsidR="00370E8B" w:rsidRPr="00CD2D6B" w:rsidRDefault="0022136D" w:rsidP="00CD2D6B">
      <w:pPr>
        <w:spacing w:after="0" w:line="480" w:lineRule="auto"/>
        <w:contextualSpacing/>
        <w:rPr>
          <w:rFonts w:ascii="Times New Roman" w:hAnsi="Times New Roman" w:cs="Times New Roman"/>
          <w:sz w:val="24"/>
          <w:szCs w:val="24"/>
        </w:rPr>
      </w:pPr>
      <w:r w:rsidRPr="00CD2D6B">
        <w:rPr>
          <w:rFonts w:ascii="Times New Roman" w:hAnsi="Times New Roman" w:cs="Times New Roman"/>
          <w:sz w:val="24"/>
          <w:szCs w:val="24"/>
        </w:rPr>
        <w:t>R squared</w:t>
      </w:r>
    </w:p>
    <w:p w:rsidR="00370E8B" w:rsidRPr="00CD2D6B" w:rsidRDefault="0022136D" w:rsidP="00CD2D6B">
      <w:pPr>
        <w:spacing w:after="0" w:line="480" w:lineRule="auto"/>
        <w:contextualSpacing/>
        <w:rPr>
          <w:rFonts w:ascii="Times New Roman" w:hAnsi="Times New Roman" w:cs="Times New Roman"/>
          <w:sz w:val="24"/>
          <w:szCs w:val="24"/>
        </w:rPr>
      </w:pPr>
      <w:r w:rsidRPr="00CD2D6B">
        <w:rPr>
          <w:rFonts w:ascii="Times New Roman" w:hAnsi="Times New Roman" w:cs="Times New Roman"/>
          <w:sz w:val="24"/>
          <w:szCs w:val="24"/>
        </w:rPr>
        <w:t xml:space="preserve">R² = 0.788       78% of the variation in costs associated is accounted for by its regression on the variables.  </w:t>
      </w:r>
      <w:r w:rsidR="00B82DC9">
        <w:rPr>
          <w:rFonts w:ascii="Times New Roman" w:hAnsi="Times New Roman" w:cs="Times New Roman"/>
          <w:sz w:val="24"/>
          <w:szCs w:val="24"/>
        </w:rPr>
        <w:t xml:space="preserve"> </w:t>
      </w:r>
      <w:r w:rsidRPr="00CD2D6B">
        <w:rPr>
          <w:rFonts w:ascii="Times New Roman" w:hAnsi="Times New Roman" w:cs="Times New Roman"/>
          <w:color w:val="000000"/>
          <w:sz w:val="24"/>
          <w:szCs w:val="24"/>
        </w:rPr>
        <w:t>This indicates the statistical significance of the regression model that was run. Here, </w:t>
      </w:r>
      <w:r w:rsidRPr="00CD2D6B">
        <w:rPr>
          <w:rStyle w:val="Emphasis"/>
          <w:rFonts w:ascii="Times New Roman" w:hAnsi="Times New Roman" w:cs="Times New Roman"/>
          <w:color w:val="000000"/>
          <w:sz w:val="24"/>
          <w:szCs w:val="24"/>
        </w:rPr>
        <w:t>p</w:t>
      </w:r>
      <w:r w:rsidRPr="00CD2D6B">
        <w:rPr>
          <w:rFonts w:ascii="Times New Roman" w:hAnsi="Times New Roman" w:cs="Times New Roman"/>
          <w:color w:val="000000"/>
          <w:sz w:val="24"/>
          <w:szCs w:val="24"/>
        </w:rPr>
        <w:t xml:space="preserve"> &lt; 0.05, which is less than 0.05, indicates that, overall, the regression model statistically significantly predicts the outcome variable (i.e., it is a good fit for the data). </w:t>
      </w:r>
      <w:r w:rsidR="00B82DC9">
        <w:rPr>
          <w:rFonts w:ascii="Times New Roman" w:hAnsi="Times New Roman" w:cs="Times New Roman"/>
          <w:sz w:val="24"/>
          <w:szCs w:val="24"/>
        </w:rPr>
        <w:t xml:space="preserve"> </w:t>
      </w:r>
      <w:r w:rsidRPr="00CD2D6B">
        <w:rPr>
          <w:rFonts w:ascii="Times New Roman" w:hAnsi="Times New Roman" w:cs="Times New Roman"/>
          <w:color w:val="000000"/>
          <w:sz w:val="24"/>
          <w:szCs w:val="24"/>
          <w:shd w:val="clear" w:color="auto" w:fill="FFFFFF"/>
        </w:rPr>
        <w:t>Looking at the preceding scatter linear graph figure, you can see that a positive and positive linear relationship does appear between the variables and the costs associated.</w:t>
      </w:r>
      <w:r w:rsidR="00B82DC9">
        <w:rPr>
          <w:rFonts w:ascii="Times New Roman" w:hAnsi="Times New Roman" w:cs="Times New Roman"/>
          <w:sz w:val="24"/>
          <w:szCs w:val="24"/>
        </w:rPr>
        <w:t xml:space="preserve"> </w:t>
      </w:r>
      <w:r w:rsidRPr="00CD2D6B">
        <w:rPr>
          <w:rFonts w:ascii="Times New Roman" w:hAnsi="Times New Roman" w:cs="Times New Roman"/>
          <w:sz w:val="24"/>
          <w:szCs w:val="24"/>
        </w:rPr>
        <w:t xml:space="preserve">r is relatively close to 1; hence the predicted and the actual values are close together 0.888 </w:t>
      </w:r>
    </w:p>
    <w:p w:rsidR="00B82DC9" w:rsidRDefault="00295986" w:rsidP="00CD2D6B">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+0.70 </w:t>
      </w:r>
      <w:r w:rsidRPr="00295986">
        <w:rPr>
          <w:rFonts w:ascii="Times New Roman" w:hAnsi="Times New Roman" w:cs="Times New Roman"/>
          <w:bCs/>
          <w:color w:val="000000"/>
          <w:sz w:val="24"/>
          <w:szCs w:val="24"/>
          <w:shd w:val="clear" w:color="auto" w:fill="FFFFFF"/>
        </w:rPr>
        <w:t>hence</w:t>
      </w:r>
      <w:r>
        <w:rPr>
          <w:rFonts w:ascii="Times New Roman" w:hAnsi="Times New Roman" w:cs="Times New Roman"/>
          <w:b/>
          <w:bCs/>
          <w:color w:val="000000"/>
          <w:sz w:val="24"/>
          <w:szCs w:val="24"/>
          <w:shd w:val="clear" w:color="auto" w:fill="FFFFFF"/>
        </w:rPr>
        <w:t xml:space="preserve"> </w:t>
      </w:r>
      <w:r w:rsidR="0022136D" w:rsidRPr="00CD2D6B">
        <w:rPr>
          <w:rFonts w:ascii="Times New Roman" w:hAnsi="Times New Roman" w:cs="Times New Roman"/>
          <w:color w:val="000000"/>
          <w:sz w:val="24"/>
          <w:szCs w:val="24"/>
          <w:shd w:val="clear" w:color="auto" w:fill="FFFFFF"/>
        </w:rPr>
        <w:t xml:space="preserve"> strong uphill (positive) linear relation.</w:t>
      </w:r>
    </w:p>
    <w:p w:rsidR="00B82DC9" w:rsidRDefault="0022136D" w:rsidP="00B82DC9">
      <w:pPr>
        <w:spacing w:after="0" w:line="480" w:lineRule="auto"/>
        <w:ind w:firstLine="720"/>
        <w:contextualSpacing/>
        <w:rPr>
          <w:rFonts w:ascii="Times New Roman" w:hAnsi="Times New Roman" w:cs="Times New Roman"/>
          <w:color w:val="000000"/>
          <w:sz w:val="24"/>
          <w:szCs w:val="24"/>
          <w:shd w:val="clear" w:color="auto" w:fill="FFFFFF"/>
        </w:rPr>
      </w:pPr>
      <w:r w:rsidRPr="00CD2D6B">
        <w:rPr>
          <w:rFonts w:ascii="Times New Roman" w:hAnsi="Times New Roman" w:cs="Times New Roman"/>
          <w:sz w:val="24"/>
          <w:szCs w:val="24"/>
        </w:rPr>
        <w:t xml:space="preserve">Sports &amp; leisure-fitness club, monthly Fee for 1 Adult is the best predictor and salaries &amp;finances-Average Monthly Net Salary (After Tax) is the worst predictor because </w:t>
      </w:r>
      <w:r w:rsidRPr="00CD2D6B">
        <w:rPr>
          <w:rFonts w:ascii="Times New Roman" w:hAnsi="Times New Roman" w:cs="Times New Roman"/>
          <w:color w:val="525252"/>
          <w:sz w:val="24"/>
          <w:szCs w:val="24"/>
          <w:shd w:val="clear" w:color="auto" w:fill="FFFFFF"/>
        </w:rPr>
        <w:t>it has a large residual value</w:t>
      </w:r>
      <w:r w:rsidRPr="00CD2D6B">
        <w:rPr>
          <w:rFonts w:ascii="Times New Roman" w:hAnsi="Times New Roman" w:cs="Times New Roman"/>
          <w:sz w:val="24"/>
          <w:szCs w:val="24"/>
        </w:rPr>
        <w:t xml:space="preserve"> and </w:t>
      </w:r>
      <w:r w:rsidRPr="00CD2D6B">
        <w:rPr>
          <w:rFonts w:ascii="Times New Roman" w:hAnsi="Times New Roman" w:cs="Times New Roman"/>
          <w:color w:val="525252"/>
          <w:sz w:val="24"/>
          <w:szCs w:val="24"/>
          <w:shd w:val="clear" w:color="auto" w:fill="FFFFFF"/>
        </w:rPr>
        <w:t>may represent erroneous data, or may indicate a poorly fitting regression line</w:t>
      </w:r>
      <w:r w:rsidRPr="00CD2D6B">
        <w:rPr>
          <w:rFonts w:ascii="Times New Roman" w:hAnsi="Times New Roman" w:cs="Times New Roman"/>
          <w:sz w:val="24"/>
          <w:szCs w:val="24"/>
        </w:rPr>
        <w:t xml:space="preserve">. </w:t>
      </w:r>
    </w:p>
    <w:p w:rsidR="00332C86" w:rsidRPr="00B82DC9" w:rsidRDefault="0022136D" w:rsidP="00B82DC9">
      <w:pPr>
        <w:spacing w:after="0" w:line="480" w:lineRule="auto"/>
        <w:ind w:firstLine="720"/>
        <w:contextualSpacing/>
        <w:rPr>
          <w:rFonts w:ascii="Times New Roman" w:hAnsi="Times New Roman" w:cs="Times New Roman"/>
          <w:color w:val="000000"/>
          <w:sz w:val="24"/>
          <w:szCs w:val="24"/>
          <w:shd w:val="clear" w:color="auto" w:fill="FFFFFF"/>
        </w:rPr>
      </w:pPr>
      <w:r w:rsidRPr="00CD2D6B">
        <w:rPr>
          <w:rFonts w:ascii="Times New Roman" w:eastAsia="Times New Roman" w:hAnsi="Times New Roman" w:cs="Times New Roman"/>
          <w:color w:val="363636"/>
          <w:sz w:val="24"/>
          <w:szCs w:val="24"/>
        </w:rPr>
        <w:t xml:space="preserve">Even though different cities </w:t>
      </w:r>
      <w:r w:rsidR="008A1D1A" w:rsidRPr="00CD2D6B">
        <w:rPr>
          <w:rFonts w:ascii="Times New Roman" w:eastAsia="Times New Roman" w:hAnsi="Times New Roman" w:cs="Times New Roman"/>
          <w:color w:val="363636"/>
          <w:sz w:val="24"/>
          <w:szCs w:val="24"/>
        </w:rPr>
        <w:t xml:space="preserve">have a different cost of living </w:t>
      </w:r>
      <w:r w:rsidRPr="00CD2D6B">
        <w:rPr>
          <w:rFonts w:ascii="Times New Roman" w:eastAsia="Times New Roman" w:hAnsi="Times New Roman" w:cs="Times New Roman"/>
          <w:color w:val="363636"/>
          <w:sz w:val="24"/>
          <w:szCs w:val="24"/>
        </w:rPr>
        <w:t xml:space="preserve">for various reasons such as </w:t>
      </w:r>
      <w:r w:rsidR="008A1D1A" w:rsidRPr="00CD2D6B">
        <w:rPr>
          <w:rFonts w:ascii="Times New Roman" w:eastAsia="Times New Roman" w:hAnsi="Times New Roman" w:cs="Times New Roman"/>
          <w:color w:val="363636"/>
          <w:sz w:val="24"/>
          <w:szCs w:val="24"/>
        </w:rPr>
        <w:t>Utilities</w:t>
      </w:r>
      <w:r w:rsidRPr="00CD2D6B">
        <w:rPr>
          <w:rFonts w:ascii="Times New Roman" w:eastAsia="Times New Roman" w:hAnsi="Times New Roman" w:cs="Times New Roman"/>
          <w:color w:val="363636"/>
          <w:sz w:val="24"/>
          <w:szCs w:val="24"/>
        </w:rPr>
        <w:t>,</w:t>
      </w:r>
      <w:r w:rsidR="00AD2C64">
        <w:rPr>
          <w:rFonts w:ascii="Times New Roman" w:eastAsia="Times New Roman" w:hAnsi="Times New Roman" w:cs="Times New Roman"/>
          <w:color w:val="363636"/>
          <w:sz w:val="24"/>
          <w:szCs w:val="24"/>
        </w:rPr>
        <w:t xml:space="preserve"> </w:t>
      </w:r>
      <w:r w:rsidR="008A1D1A" w:rsidRPr="00CD2D6B">
        <w:rPr>
          <w:rFonts w:ascii="Times New Roman" w:eastAsia="Times New Roman" w:hAnsi="Times New Roman" w:cs="Times New Roman"/>
          <w:color w:val="363636"/>
          <w:sz w:val="24"/>
          <w:szCs w:val="24"/>
        </w:rPr>
        <w:t>leisure,</w:t>
      </w:r>
      <w:r w:rsidR="00AD2C64">
        <w:rPr>
          <w:rFonts w:ascii="Times New Roman" w:eastAsia="Times New Roman" w:hAnsi="Times New Roman" w:cs="Times New Roman"/>
          <w:color w:val="363636"/>
          <w:sz w:val="24"/>
          <w:szCs w:val="24"/>
        </w:rPr>
        <w:t xml:space="preserve"> </w:t>
      </w:r>
      <w:r w:rsidR="008A1D1A" w:rsidRPr="00CD2D6B">
        <w:rPr>
          <w:rFonts w:ascii="Times New Roman" w:eastAsia="Times New Roman" w:hAnsi="Times New Roman" w:cs="Times New Roman"/>
          <w:color w:val="363636"/>
          <w:sz w:val="24"/>
          <w:szCs w:val="24"/>
        </w:rPr>
        <w:t>childcare,</w:t>
      </w:r>
      <w:r w:rsidR="008A1D1A" w:rsidRPr="00CD2D6B">
        <w:rPr>
          <w:rFonts w:ascii="Times New Roman" w:hAnsi="Times New Roman" w:cs="Times New Roman"/>
          <w:sz w:val="24"/>
          <w:szCs w:val="24"/>
        </w:rPr>
        <w:t xml:space="preserve"> rent, </w:t>
      </w:r>
      <w:r w:rsidR="008A1D1A" w:rsidRPr="00CD2D6B">
        <w:rPr>
          <w:rFonts w:ascii="Times New Roman" w:eastAsia="Times New Roman" w:hAnsi="Times New Roman" w:cs="Times New Roman"/>
          <w:color w:val="363636"/>
          <w:sz w:val="24"/>
          <w:szCs w:val="24"/>
        </w:rPr>
        <w:t xml:space="preserve">salaries differ </w:t>
      </w:r>
      <w:r w:rsidRPr="00CD2D6B">
        <w:rPr>
          <w:rFonts w:ascii="Times New Roman" w:eastAsia="Times New Roman" w:hAnsi="Times New Roman" w:cs="Times New Roman"/>
          <w:color w:val="363636"/>
          <w:sz w:val="24"/>
          <w:szCs w:val="24"/>
        </w:rPr>
        <w:t xml:space="preserve">across the </w:t>
      </w:r>
      <w:r w:rsidR="008A1D1A" w:rsidRPr="00CD2D6B">
        <w:rPr>
          <w:rFonts w:ascii="Times New Roman" w:eastAsia="Times New Roman" w:hAnsi="Times New Roman" w:cs="Times New Roman"/>
          <w:color w:val="363636"/>
          <w:sz w:val="24"/>
          <w:szCs w:val="24"/>
        </w:rPr>
        <w:t>cities.</w:t>
      </w:r>
    </w:p>
    <w:p w:rsidR="008A7088" w:rsidRPr="00CD2D6B" w:rsidRDefault="0022136D" w:rsidP="00CD2D6B">
      <w:p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color w:val="141412"/>
          <w:sz w:val="24"/>
          <w:szCs w:val="24"/>
        </w:rPr>
        <w:t xml:space="preserve">To Identifying Relationships </w:t>
      </w:r>
      <w:r w:rsidR="00AD2C64" w:rsidRPr="00CD2D6B">
        <w:rPr>
          <w:rFonts w:ascii="Times New Roman" w:eastAsia="Times New Roman" w:hAnsi="Times New Roman" w:cs="Times New Roman"/>
          <w:color w:val="141412"/>
          <w:sz w:val="24"/>
          <w:szCs w:val="24"/>
        </w:rPr>
        <w:t>between</w:t>
      </w:r>
      <w:r w:rsidRPr="00CD2D6B">
        <w:rPr>
          <w:rFonts w:ascii="Times New Roman" w:eastAsia="Times New Roman" w:hAnsi="Times New Roman" w:cs="Times New Roman"/>
          <w:color w:val="141412"/>
          <w:sz w:val="24"/>
          <w:szCs w:val="24"/>
        </w:rPr>
        <w:t xml:space="preserve"> Variables that cause the cost of living in Alexandria, VA, United States.</w:t>
      </w:r>
    </w:p>
    <w:p w:rsidR="00254665" w:rsidRPr="00CD2D6B" w:rsidRDefault="0022136D" w:rsidP="00CD2D6B">
      <w:p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b/>
          <w:bCs/>
          <w:color w:val="141412"/>
          <w:sz w:val="24"/>
          <w:szCs w:val="24"/>
        </w:rPr>
        <w:t>Summary</w:t>
      </w:r>
    </w:p>
    <w:p w:rsidR="00254665" w:rsidRPr="00CD2D6B" w:rsidRDefault="0022136D" w:rsidP="00CD2D6B">
      <w:pPr>
        <w:numPr>
          <w:ilvl w:val="0"/>
          <w:numId w:val="1"/>
        </w:numPr>
        <w:spacing w:after="0" w:line="480" w:lineRule="auto"/>
        <w:contextualSpacing/>
        <w:rPr>
          <w:rFonts w:ascii="Times New Roman" w:eastAsia="Times New Roman" w:hAnsi="Times New Roman" w:cs="Times New Roman"/>
          <w:color w:val="000000" w:themeColor="text1"/>
          <w:sz w:val="24"/>
          <w:szCs w:val="24"/>
        </w:rPr>
      </w:pPr>
      <w:r w:rsidRPr="00CD2D6B">
        <w:rPr>
          <w:rFonts w:ascii="Times New Roman" w:eastAsia="Times New Roman" w:hAnsi="Times New Roman" w:cs="Times New Roman"/>
          <w:color w:val="141412"/>
          <w:sz w:val="24"/>
          <w:szCs w:val="24"/>
        </w:rPr>
        <w:t>Four-person family monthly costs: </w:t>
      </w:r>
      <w:r w:rsidRPr="00CD2D6B">
        <w:rPr>
          <w:rFonts w:ascii="Times New Roman" w:eastAsia="Times New Roman" w:hAnsi="Times New Roman" w:cs="Times New Roman"/>
          <w:b/>
          <w:bCs/>
          <w:color w:val="333333"/>
          <w:sz w:val="24"/>
          <w:szCs w:val="24"/>
        </w:rPr>
        <w:t>482,633.76KSh (4,425.80$)</w:t>
      </w:r>
      <w:r w:rsidRPr="00CD2D6B">
        <w:rPr>
          <w:rFonts w:ascii="Times New Roman" w:eastAsia="Times New Roman" w:hAnsi="Times New Roman" w:cs="Times New Roman"/>
          <w:color w:val="141412"/>
          <w:sz w:val="24"/>
          <w:szCs w:val="24"/>
        </w:rPr>
        <w:t> without rent (using </w:t>
      </w:r>
      <w:hyperlink r:id="rId8" w:history="1">
        <w:r w:rsidRPr="00CD2D6B">
          <w:rPr>
            <w:rFonts w:ascii="Times New Roman" w:eastAsia="Times New Roman" w:hAnsi="Times New Roman" w:cs="Times New Roman"/>
            <w:color w:val="000000" w:themeColor="text1"/>
            <w:sz w:val="24"/>
            <w:szCs w:val="24"/>
            <w:u w:val="single"/>
          </w:rPr>
          <w:t>our estimator)</w:t>
        </w:r>
      </w:hyperlink>
      <w:r w:rsidRPr="00CD2D6B">
        <w:rPr>
          <w:rFonts w:ascii="Times New Roman" w:eastAsia="Times New Roman" w:hAnsi="Times New Roman" w:cs="Times New Roman"/>
          <w:color w:val="000000" w:themeColor="text1"/>
          <w:sz w:val="24"/>
          <w:szCs w:val="24"/>
        </w:rPr>
        <w:t>.</w:t>
      </w:r>
    </w:p>
    <w:p w:rsidR="00254665" w:rsidRPr="00CD2D6B" w:rsidRDefault="0022136D" w:rsidP="00CD2D6B">
      <w:pPr>
        <w:numPr>
          <w:ilvl w:val="0"/>
          <w:numId w:val="1"/>
        </w:num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color w:val="141412"/>
          <w:sz w:val="24"/>
          <w:szCs w:val="24"/>
        </w:rPr>
        <w:t>A single person monthly costs: </w:t>
      </w:r>
      <w:r w:rsidRPr="00CD2D6B">
        <w:rPr>
          <w:rFonts w:ascii="Times New Roman" w:eastAsia="Times New Roman" w:hAnsi="Times New Roman" w:cs="Times New Roman"/>
          <w:b/>
          <w:bCs/>
          <w:color w:val="333333"/>
          <w:sz w:val="24"/>
          <w:szCs w:val="24"/>
        </w:rPr>
        <w:t>132,362.88KSh (1,213.78$)</w:t>
      </w:r>
      <w:r w:rsidRPr="00CD2D6B">
        <w:rPr>
          <w:rFonts w:ascii="Times New Roman" w:eastAsia="Times New Roman" w:hAnsi="Times New Roman" w:cs="Times New Roman"/>
          <w:color w:val="141412"/>
          <w:sz w:val="24"/>
          <w:szCs w:val="24"/>
        </w:rPr>
        <w:t> without rent.</w:t>
      </w:r>
    </w:p>
    <w:p w:rsidR="00254665" w:rsidRPr="00CD2D6B" w:rsidRDefault="0022136D" w:rsidP="00CD2D6B">
      <w:pPr>
        <w:numPr>
          <w:ilvl w:val="0"/>
          <w:numId w:val="1"/>
        </w:num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color w:val="141412"/>
          <w:sz w:val="24"/>
          <w:szCs w:val="24"/>
        </w:rPr>
        <w:t xml:space="preserve">The cost of living index in </w:t>
      </w:r>
      <w:r w:rsidRPr="00CD2D6B">
        <w:rPr>
          <w:rFonts w:ascii="Times New Roman" w:eastAsia="Times New Roman" w:hAnsi="Times New Roman" w:cs="Times New Roman"/>
          <w:b/>
          <w:bCs/>
          <w:sz w:val="24"/>
          <w:szCs w:val="24"/>
        </w:rPr>
        <w:t>Alexandria</w:t>
      </w:r>
      <w:r w:rsidRPr="00CD2D6B">
        <w:rPr>
          <w:rFonts w:ascii="Times New Roman" w:eastAsia="Times New Roman" w:hAnsi="Times New Roman" w:cs="Times New Roman"/>
          <w:color w:val="141412"/>
          <w:sz w:val="24"/>
          <w:szCs w:val="24"/>
        </w:rPr>
        <w:t> is </w:t>
      </w:r>
      <w:r w:rsidRPr="00CD2D6B">
        <w:rPr>
          <w:rFonts w:ascii="Times New Roman" w:eastAsia="Times New Roman" w:hAnsi="Times New Roman" w:cs="Times New Roman"/>
          <w:b/>
          <w:bCs/>
          <w:color w:val="333333"/>
          <w:sz w:val="24"/>
          <w:szCs w:val="24"/>
        </w:rPr>
        <w:t>131.98%</w:t>
      </w:r>
      <w:r w:rsidR="00706726" w:rsidRPr="00CD2D6B">
        <w:rPr>
          <w:rFonts w:ascii="Times New Roman" w:eastAsia="Times New Roman" w:hAnsi="Times New Roman" w:cs="Times New Roman"/>
          <w:b/>
          <w:bCs/>
          <w:sz w:val="24"/>
          <w:szCs w:val="24"/>
        </w:rPr>
        <w:t>.</w:t>
      </w:r>
    </w:p>
    <w:p w:rsidR="00254665" w:rsidRPr="00CD2D6B" w:rsidRDefault="0022136D" w:rsidP="00CD2D6B">
      <w:pPr>
        <w:numPr>
          <w:ilvl w:val="0"/>
          <w:numId w:val="1"/>
        </w:num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color w:val="141412"/>
          <w:sz w:val="24"/>
          <w:szCs w:val="24"/>
        </w:rPr>
        <w:t>Rent in </w:t>
      </w:r>
      <w:r w:rsidRPr="00CD2D6B">
        <w:rPr>
          <w:rFonts w:ascii="Times New Roman" w:eastAsia="Times New Roman" w:hAnsi="Times New Roman" w:cs="Times New Roman"/>
          <w:b/>
          <w:bCs/>
          <w:sz w:val="24"/>
          <w:szCs w:val="24"/>
        </w:rPr>
        <w:t>Alexandria</w:t>
      </w:r>
      <w:r w:rsidRPr="00CD2D6B">
        <w:rPr>
          <w:rFonts w:ascii="Times New Roman" w:eastAsia="Times New Roman" w:hAnsi="Times New Roman" w:cs="Times New Roman"/>
          <w:color w:val="141412"/>
          <w:sz w:val="24"/>
          <w:szCs w:val="24"/>
        </w:rPr>
        <w:t> is, on average, </w:t>
      </w:r>
      <w:r w:rsidRPr="00CD2D6B">
        <w:rPr>
          <w:rFonts w:ascii="Times New Roman" w:eastAsia="Times New Roman" w:hAnsi="Times New Roman" w:cs="Times New Roman"/>
          <w:b/>
          <w:bCs/>
          <w:color w:val="333333"/>
          <w:sz w:val="24"/>
          <w:szCs w:val="24"/>
        </w:rPr>
        <w:t>357.46%</w:t>
      </w:r>
      <w:r w:rsidR="00706726" w:rsidRPr="00CD2D6B">
        <w:rPr>
          <w:rFonts w:ascii="Times New Roman" w:eastAsia="Times New Roman" w:hAnsi="Times New Roman" w:cs="Times New Roman"/>
          <w:b/>
          <w:bCs/>
          <w:color w:val="000000" w:themeColor="text1"/>
          <w:sz w:val="24"/>
          <w:szCs w:val="24"/>
        </w:rPr>
        <w:t>.</w:t>
      </w:r>
    </w:p>
    <w:p w:rsidR="00254665" w:rsidRPr="00CD2D6B" w:rsidRDefault="0022136D" w:rsidP="00CD2D6B">
      <w:pPr>
        <w:numPr>
          <w:ilvl w:val="0"/>
          <w:numId w:val="1"/>
        </w:num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color w:val="141412"/>
          <w:sz w:val="24"/>
          <w:szCs w:val="24"/>
        </w:rPr>
        <w:t xml:space="preserve">The cost of living ranks </w:t>
      </w:r>
      <w:r w:rsidRPr="00CD2D6B">
        <w:rPr>
          <w:rFonts w:ascii="Times New Roman" w:eastAsia="Times New Roman" w:hAnsi="Times New Roman" w:cs="Times New Roman"/>
          <w:b/>
          <w:bCs/>
          <w:color w:val="333333"/>
          <w:sz w:val="24"/>
          <w:szCs w:val="24"/>
        </w:rPr>
        <w:t>26</w:t>
      </w:r>
      <w:r w:rsidRPr="00CD2D6B">
        <w:rPr>
          <w:rFonts w:ascii="Times New Roman" w:eastAsia="Times New Roman" w:hAnsi="Times New Roman" w:cs="Times New Roman"/>
          <w:b/>
          <w:bCs/>
          <w:color w:val="333333"/>
          <w:sz w:val="24"/>
          <w:szCs w:val="24"/>
          <w:vertAlign w:val="superscript"/>
        </w:rPr>
        <w:t>th</w:t>
      </w:r>
      <w:r w:rsidRPr="00CD2D6B">
        <w:rPr>
          <w:rFonts w:ascii="Times New Roman" w:eastAsia="Times New Roman" w:hAnsi="Times New Roman" w:cs="Times New Roman"/>
          <w:b/>
          <w:bCs/>
          <w:color w:val="333333"/>
          <w:sz w:val="24"/>
          <w:szCs w:val="24"/>
        </w:rPr>
        <w:t> out of 587</w:t>
      </w:r>
      <w:r w:rsidRPr="00CD2D6B">
        <w:rPr>
          <w:rFonts w:ascii="Times New Roman" w:eastAsia="Times New Roman" w:hAnsi="Times New Roman" w:cs="Times New Roman"/>
          <w:color w:val="141412"/>
          <w:sz w:val="24"/>
          <w:szCs w:val="24"/>
        </w:rPr>
        <w:t> cities in the world.</w:t>
      </w:r>
    </w:p>
    <w:p w:rsidR="00254665" w:rsidRPr="00CD2D6B" w:rsidRDefault="0022136D" w:rsidP="00CD2D6B">
      <w:pPr>
        <w:numPr>
          <w:ilvl w:val="0"/>
          <w:numId w:val="1"/>
        </w:numPr>
        <w:spacing w:after="0" w:line="480" w:lineRule="auto"/>
        <w:contextualSpacing/>
        <w:rPr>
          <w:rFonts w:ascii="Times New Roman" w:eastAsia="Times New Roman" w:hAnsi="Times New Roman" w:cs="Times New Roman"/>
          <w:color w:val="141412"/>
          <w:sz w:val="24"/>
          <w:szCs w:val="24"/>
        </w:rPr>
      </w:pPr>
      <w:r w:rsidRPr="00CD2D6B">
        <w:rPr>
          <w:rFonts w:ascii="Times New Roman" w:eastAsia="Times New Roman" w:hAnsi="Times New Roman" w:cs="Times New Roman"/>
          <w:color w:val="141412"/>
          <w:sz w:val="24"/>
          <w:szCs w:val="24"/>
        </w:rPr>
        <w:t>Alexandria has a </w:t>
      </w:r>
      <w:hyperlink r:id="rId9" w:history="1">
        <w:r w:rsidRPr="00CD2D6B">
          <w:rPr>
            <w:rFonts w:ascii="Times New Roman" w:eastAsia="Times New Roman" w:hAnsi="Times New Roman" w:cs="Times New Roman"/>
            <w:sz w:val="24"/>
            <w:szCs w:val="24"/>
            <w:u w:val="single"/>
          </w:rPr>
          <w:t>cost of living index</w:t>
        </w:r>
      </w:hyperlink>
      <w:r w:rsidRPr="00CD2D6B">
        <w:rPr>
          <w:rFonts w:ascii="Times New Roman" w:eastAsia="Times New Roman" w:hAnsi="Times New Roman" w:cs="Times New Roman"/>
          <w:color w:val="141412"/>
          <w:sz w:val="24"/>
          <w:szCs w:val="24"/>
        </w:rPr>
        <w:t> of </w:t>
      </w:r>
      <w:r w:rsidRPr="00CD2D6B">
        <w:rPr>
          <w:rFonts w:ascii="Times New Roman" w:eastAsia="Times New Roman" w:hAnsi="Times New Roman" w:cs="Times New Roman"/>
          <w:b/>
          <w:bCs/>
          <w:color w:val="333333"/>
          <w:sz w:val="24"/>
          <w:szCs w:val="24"/>
        </w:rPr>
        <w:t>90.58</w:t>
      </w:r>
      <w:r w:rsidRPr="00CD2D6B">
        <w:rPr>
          <w:rFonts w:ascii="Times New Roman" w:eastAsia="Times New Roman" w:hAnsi="Times New Roman" w:cs="Times New Roman"/>
          <w:color w:val="141412"/>
          <w:sz w:val="24"/>
          <w:szCs w:val="24"/>
        </w:rPr>
        <w:t>.</w:t>
      </w:r>
    </w:p>
    <w:p w:rsidR="00D4255D" w:rsidRPr="00B82DC9" w:rsidRDefault="00D4255D" w:rsidP="00CD2D6B">
      <w:pPr>
        <w:spacing w:after="0" w:line="480" w:lineRule="auto"/>
        <w:contextualSpacing/>
      </w:pPr>
    </w:p>
    <w:p w:rsidR="00213D87" w:rsidRDefault="0022136D" w:rsidP="00CD2D6B">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Conclusion</w:t>
      </w:r>
    </w:p>
    <w:p w:rsidR="00C235F6" w:rsidRPr="00B82DC9" w:rsidRDefault="0022136D" w:rsidP="00B82DC9">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From the findings, it was found that there was a linear relationship that appears between the variables and the associated costs. </w:t>
      </w:r>
      <w:r w:rsidR="00B82DC9">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 strong </w:t>
      </w:r>
      <w:r w:rsidR="00C235F6">
        <w:rPr>
          <w:rFonts w:ascii="Times New Roman" w:hAnsi="Times New Roman" w:cs="Times New Roman"/>
          <w:color w:val="000000"/>
          <w:sz w:val="24"/>
          <w:szCs w:val="24"/>
          <w:shd w:val="clear" w:color="auto" w:fill="FFFFFF"/>
        </w:rPr>
        <w:t>positive correlation exists between the variables and the costs associated.</w:t>
      </w:r>
      <w:r w:rsidR="00B82DC9">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The </w:t>
      </w:r>
      <w:r>
        <w:rPr>
          <w:rFonts w:ascii="Arial" w:hAnsi="Arial" w:cs="Arial"/>
          <w:color w:val="000000"/>
        </w:rPr>
        <w:t>regression model is a good fit for the data.</w:t>
      </w:r>
    </w:p>
    <w:p w:rsidR="00CD2D6B" w:rsidRDefault="0022136D" w:rsidP="00CD2D6B">
      <w:pPr>
        <w:spacing w:after="0" w:line="480" w:lineRule="auto"/>
        <w:contextualSpacing/>
        <w:rPr>
          <w:rFonts w:ascii="Arial" w:hAnsi="Arial" w:cs="Arial"/>
          <w:color w:val="000000"/>
        </w:rPr>
      </w:pPr>
      <w:r>
        <w:rPr>
          <w:rFonts w:ascii="Arial" w:hAnsi="Arial" w:cs="Arial"/>
          <w:color w:val="000000"/>
        </w:rPr>
        <w:br w:type="page"/>
      </w:r>
    </w:p>
    <w:p w:rsidR="00CD2D6B" w:rsidRPr="00B82DC9" w:rsidRDefault="0022136D" w:rsidP="00B82DC9">
      <w:pPr>
        <w:spacing w:after="0" w:line="480" w:lineRule="auto"/>
        <w:contextualSpacing/>
        <w:jc w:val="center"/>
        <w:rPr>
          <w:rFonts w:ascii="Times New Roman" w:hAnsi="Times New Roman" w:cs="Times New Roman"/>
          <w:color w:val="000000"/>
          <w:sz w:val="24"/>
          <w:szCs w:val="24"/>
        </w:rPr>
      </w:pPr>
      <w:r w:rsidRPr="00B82DC9">
        <w:rPr>
          <w:rFonts w:ascii="Times New Roman" w:hAnsi="Times New Roman" w:cs="Times New Roman"/>
          <w:color w:val="000000"/>
          <w:sz w:val="24"/>
          <w:szCs w:val="24"/>
        </w:rPr>
        <w:t>References</w:t>
      </w:r>
    </w:p>
    <w:p w:rsidR="00AA5B90" w:rsidRPr="00B82DC9" w:rsidRDefault="00295986" w:rsidP="00B82DC9">
      <w:pPr>
        <w:spacing w:after="0" w:line="480" w:lineRule="auto"/>
        <w:ind w:left="720" w:hanging="720"/>
        <w:contextualSpacing/>
        <w:rPr>
          <w:rFonts w:ascii="Times New Roman" w:hAnsi="Times New Roman" w:cs="Times New Roman"/>
          <w:sz w:val="24"/>
          <w:szCs w:val="24"/>
        </w:rPr>
      </w:pPr>
      <w:r w:rsidRPr="00B82DC9">
        <w:rPr>
          <w:rFonts w:ascii="Times New Roman" w:hAnsi="Times New Roman" w:cs="Times New Roman"/>
          <w:sz w:val="24"/>
          <w:szCs w:val="24"/>
        </w:rPr>
        <w:t>Tan, K. G., Tan, I. Y. E., Zhang, Y., &amp; Chua, S. J. J. (2020). Comparing Cost of Living and Affordability for Expatriates and Ordina</w:t>
      </w:r>
      <w:bookmarkStart w:id="0" w:name="_GoBack"/>
      <w:bookmarkEnd w:id="0"/>
      <w:r w:rsidRPr="00B82DC9">
        <w:rPr>
          <w:rFonts w:ascii="Times New Roman" w:hAnsi="Times New Roman" w:cs="Times New Roman"/>
          <w:sz w:val="24"/>
          <w:szCs w:val="24"/>
        </w:rPr>
        <w:t xml:space="preserve">ry Residents. </w:t>
      </w:r>
      <w:r w:rsidRPr="00B82DC9">
        <w:rPr>
          <w:rFonts w:ascii="Times New Roman" w:hAnsi="Times New Roman" w:cs="Times New Roman"/>
          <w:i/>
          <w:iCs/>
          <w:sz w:val="24"/>
          <w:szCs w:val="24"/>
        </w:rPr>
        <w:t>World Scientific Book Chapters</w:t>
      </w:r>
      <w:r w:rsidRPr="00B82DC9">
        <w:rPr>
          <w:rFonts w:ascii="Times New Roman" w:hAnsi="Times New Roman" w:cs="Times New Roman"/>
          <w:sz w:val="24"/>
          <w:szCs w:val="24"/>
        </w:rPr>
        <w:t>, 615-637.</w:t>
      </w:r>
    </w:p>
    <w:p w:rsidR="00CD2D6B" w:rsidRPr="00AA5B90" w:rsidRDefault="00AA5B90" w:rsidP="00B82DC9">
      <w:pPr>
        <w:spacing w:after="0" w:line="480" w:lineRule="auto"/>
        <w:ind w:left="720" w:hanging="720"/>
        <w:contextualSpacing/>
        <w:rPr>
          <w:rFonts w:ascii="Times New Roman" w:eastAsia="Times New Roman" w:hAnsi="Times New Roman" w:cs="Times New Roman"/>
          <w:color w:val="363636"/>
          <w:sz w:val="26"/>
          <w:szCs w:val="26"/>
        </w:rPr>
      </w:pPr>
      <w:r w:rsidRPr="00B82DC9">
        <w:rPr>
          <w:rFonts w:ascii="Times New Roman" w:eastAsia="Times New Roman" w:hAnsi="Times New Roman" w:cs="Times New Roman"/>
          <w:color w:val="363636"/>
          <w:sz w:val="24"/>
          <w:szCs w:val="24"/>
        </w:rPr>
        <w:t>https://mat117.wisconsin.edu/3-visualizing-quantitative-data/</w:t>
      </w:r>
      <w:r w:rsidR="0022136D" w:rsidRPr="00AA5B90">
        <w:rPr>
          <w:rFonts w:ascii="Times New Roman" w:eastAsia="Times New Roman" w:hAnsi="Times New Roman" w:cs="Times New Roman"/>
          <w:color w:val="363636"/>
          <w:sz w:val="26"/>
          <w:szCs w:val="26"/>
        </w:rPr>
        <w:br w:type="page"/>
      </w:r>
    </w:p>
    <w:p w:rsidR="00CD2D6B" w:rsidRDefault="0022136D" w:rsidP="00CD2D6B">
      <w:pPr>
        <w:shd w:val="clear" w:color="auto" w:fill="FFFFFF"/>
        <w:spacing w:after="0" w:line="390" w:lineRule="atLeast"/>
        <w:rPr>
          <w:rFonts w:ascii="Times New Roman" w:eastAsia="Times New Roman" w:hAnsi="Times New Roman" w:cs="Times New Roman"/>
          <w:b/>
          <w:color w:val="363636"/>
          <w:sz w:val="26"/>
          <w:szCs w:val="26"/>
        </w:rPr>
      </w:pPr>
      <w:r>
        <w:rPr>
          <w:rFonts w:ascii="Times New Roman" w:eastAsia="Times New Roman" w:hAnsi="Times New Roman" w:cs="Times New Roman"/>
          <w:b/>
          <w:color w:val="363636"/>
          <w:sz w:val="26"/>
          <w:szCs w:val="26"/>
        </w:rPr>
        <w:t xml:space="preserve">Appendix </w:t>
      </w: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30"/>
        <w:gridCol w:w="1239"/>
        <w:gridCol w:w="1209"/>
        <w:gridCol w:w="260"/>
        <w:gridCol w:w="749"/>
        <w:gridCol w:w="260"/>
        <w:gridCol w:w="949"/>
        <w:gridCol w:w="520"/>
        <w:gridCol w:w="489"/>
        <w:gridCol w:w="520"/>
        <w:gridCol w:w="1009"/>
      </w:tblGrid>
      <w:tr w:rsidR="00724515" w:rsidTr="00CD2D6B">
        <w:trPr>
          <w:cantSplit/>
        </w:trPr>
        <w:tc>
          <w:tcPr>
            <w:tcW w:w="7969" w:type="dxa"/>
            <w:gridSpan w:val="12"/>
            <w:tcBorders>
              <w:top w:val="nil"/>
              <w:left w:val="nil"/>
              <w:bottom w:val="nil"/>
              <w:right w:val="nil"/>
            </w:tcBorders>
            <w:shd w:val="clear" w:color="auto" w:fill="FFFFFF"/>
          </w:tcPr>
          <w:p w:rsidR="00CD2D6B" w:rsidRPr="006F578C"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6F578C">
              <w:rPr>
                <w:rFonts w:ascii="Arial" w:hAnsi="Arial" w:cs="Arial"/>
                <w:b/>
                <w:bCs/>
                <w:color w:val="000000"/>
                <w:sz w:val="18"/>
                <w:szCs w:val="18"/>
              </w:rPr>
              <w:t>ANOVA</w:t>
            </w:r>
          </w:p>
        </w:tc>
      </w:tr>
      <w:tr w:rsidR="00724515" w:rsidTr="00CD2D6B">
        <w:trPr>
          <w:cantSplit/>
        </w:trPr>
        <w:tc>
          <w:tcPr>
            <w:tcW w:w="2004" w:type="dxa"/>
            <w:gridSpan w:val="3"/>
            <w:tcBorders>
              <w:top w:val="single" w:sz="16" w:space="0" w:color="000000"/>
              <w:left w:val="single" w:sz="16" w:space="0" w:color="000000"/>
              <w:bottom w:val="single" w:sz="16" w:space="0" w:color="000000"/>
              <w:right w:val="nil"/>
            </w:tcBorders>
            <w:shd w:val="clear" w:color="auto" w:fill="FFFFFF"/>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Model</w:t>
            </w:r>
          </w:p>
        </w:tc>
        <w:tc>
          <w:tcPr>
            <w:tcW w:w="1469" w:type="dxa"/>
            <w:gridSpan w:val="2"/>
            <w:tcBorders>
              <w:top w:val="single" w:sz="16" w:space="0" w:color="000000"/>
              <w:left w:val="single" w:sz="16" w:space="0" w:color="000000"/>
              <w:bottom w:val="single" w:sz="16" w:space="0" w:color="000000"/>
            </w:tcBorders>
            <w:shd w:val="clear" w:color="auto" w:fill="FFFFFF"/>
          </w:tcPr>
          <w:p w:rsidR="00CD2D6B" w:rsidRPr="006F578C"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6F578C">
              <w:rPr>
                <w:rFonts w:ascii="Arial" w:hAnsi="Arial" w:cs="Arial"/>
                <w:color w:val="000000"/>
                <w:sz w:val="18"/>
                <w:szCs w:val="18"/>
              </w:rPr>
              <w:t>Sum of Squares</w:t>
            </w:r>
          </w:p>
        </w:tc>
        <w:tc>
          <w:tcPr>
            <w:tcW w:w="1009" w:type="dxa"/>
            <w:gridSpan w:val="2"/>
            <w:tcBorders>
              <w:top w:val="single" w:sz="16" w:space="0" w:color="000000"/>
              <w:bottom w:val="single" w:sz="16" w:space="0" w:color="000000"/>
            </w:tcBorders>
            <w:shd w:val="clear" w:color="auto" w:fill="FFFFFF"/>
          </w:tcPr>
          <w:p w:rsidR="00CD2D6B" w:rsidRPr="006F578C"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6F578C">
              <w:rPr>
                <w:rFonts w:ascii="Arial" w:hAnsi="Arial" w:cs="Arial"/>
                <w:color w:val="000000"/>
                <w:sz w:val="18"/>
                <w:szCs w:val="18"/>
              </w:rPr>
              <w:t>df</w:t>
            </w:r>
          </w:p>
        </w:tc>
        <w:tc>
          <w:tcPr>
            <w:tcW w:w="1469" w:type="dxa"/>
            <w:gridSpan w:val="2"/>
            <w:tcBorders>
              <w:top w:val="single" w:sz="16" w:space="0" w:color="000000"/>
              <w:bottom w:val="single" w:sz="16" w:space="0" w:color="000000"/>
            </w:tcBorders>
            <w:shd w:val="clear" w:color="auto" w:fill="FFFFFF"/>
          </w:tcPr>
          <w:p w:rsidR="00CD2D6B" w:rsidRPr="006F578C"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6F578C">
              <w:rPr>
                <w:rFonts w:ascii="Arial" w:hAnsi="Arial" w:cs="Arial"/>
                <w:color w:val="000000"/>
                <w:sz w:val="18"/>
                <w:szCs w:val="18"/>
              </w:rPr>
              <w:t>Mean Square</w:t>
            </w:r>
          </w:p>
        </w:tc>
        <w:tc>
          <w:tcPr>
            <w:tcW w:w="1009" w:type="dxa"/>
            <w:gridSpan w:val="2"/>
            <w:tcBorders>
              <w:top w:val="single" w:sz="16" w:space="0" w:color="000000"/>
              <w:bottom w:val="single" w:sz="16" w:space="0" w:color="000000"/>
            </w:tcBorders>
            <w:shd w:val="clear" w:color="auto" w:fill="FFFFFF"/>
          </w:tcPr>
          <w:p w:rsidR="00CD2D6B" w:rsidRPr="006F578C"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6F578C">
              <w:rPr>
                <w:rFonts w:ascii="Arial" w:hAnsi="Arial" w:cs="Arial"/>
                <w:color w:val="000000"/>
                <w:sz w:val="18"/>
                <w:szCs w:val="18"/>
              </w:rPr>
              <w:t>F</w:t>
            </w:r>
          </w:p>
        </w:tc>
        <w:tc>
          <w:tcPr>
            <w:tcW w:w="1009" w:type="dxa"/>
            <w:tcBorders>
              <w:top w:val="single" w:sz="16" w:space="0" w:color="000000"/>
              <w:bottom w:val="single" w:sz="16" w:space="0" w:color="000000"/>
              <w:right w:val="single" w:sz="16" w:space="0" w:color="000000"/>
            </w:tcBorders>
            <w:shd w:val="clear" w:color="auto" w:fill="FFFFFF"/>
          </w:tcPr>
          <w:p w:rsidR="00CD2D6B" w:rsidRPr="006F578C"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6F578C">
              <w:rPr>
                <w:rFonts w:ascii="Arial" w:hAnsi="Arial" w:cs="Arial"/>
                <w:color w:val="000000"/>
                <w:sz w:val="18"/>
                <w:szCs w:val="18"/>
              </w:rPr>
              <w:t>Sig.</w:t>
            </w:r>
          </w:p>
        </w:tc>
      </w:tr>
      <w:tr w:rsidR="00724515" w:rsidTr="00CD2D6B">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1</w:t>
            </w:r>
          </w:p>
        </w:tc>
        <w:tc>
          <w:tcPr>
            <w:tcW w:w="1269" w:type="dxa"/>
            <w:gridSpan w:val="2"/>
            <w:tcBorders>
              <w:top w:val="single" w:sz="16" w:space="0" w:color="000000"/>
              <w:left w:val="nil"/>
              <w:bottom w:val="nil"/>
              <w:right w:val="single" w:sz="16" w:space="0" w:color="000000"/>
            </w:tcBorders>
            <w:shd w:val="clear" w:color="auto" w:fill="FFFFFF"/>
            <w:vAlign w:val="center"/>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Regression</w:t>
            </w:r>
          </w:p>
        </w:tc>
        <w:tc>
          <w:tcPr>
            <w:tcW w:w="1469" w:type="dxa"/>
            <w:gridSpan w:val="2"/>
            <w:tcBorders>
              <w:top w:val="single" w:sz="16" w:space="0" w:color="000000"/>
              <w:left w:val="single" w:sz="16" w:space="0" w:color="000000"/>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19532997.360</w:t>
            </w:r>
          </w:p>
        </w:tc>
        <w:tc>
          <w:tcPr>
            <w:tcW w:w="1009" w:type="dxa"/>
            <w:gridSpan w:val="2"/>
            <w:tcBorders>
              <w:top w:val="single" w:sz="16" w:space="0" w:color="000000"/>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1</w:t>
            </w:r>
          </w:p>
        </w:tc>
        <w:tc>
          <w:tcPr>
            <w:tcW w:w="1469" w:type="dxa"/>
            <w:gridSpan w:val="2"/>
            <w:tcBorders>
              <w:top w:val="single" w:sz="16" w:space="0" w:color="000000"/>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19532997.360</w:t>
            </w:r>
          </w:p>
        </w:tc>
        <w:tc>
          <w:tcPr>
            <w:tcW w:w="1009" w:type="dxa"/>
            <w:gridSpan w:val="2"/>
            <w:tcBorders>
              <w:top w:val="single" w:sz="16" w:space="0" w:color="000000"/>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11.152</w:t>
            </w:r>
          </w:p>
        </w:tc>
        <w:tc>
          <w:tcPr>
            <w:tcW w:w="1009" w:type="dxa"/>
            <w:tcBorders>
              <w:top w:val="single" w:sz="16" w:space="0" w:color="000000"/>
              <w:bottom w:val="nil"/>
              <w:right w:val="single" w:sz="16" w:space="0" w:color="000000"/>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.044</w:t>
            </w:r>
            <w:r w:rsidRPr="006F578C">
              <w:rPr>
                <w:rFonts w:ascii="Arial" w:hAnsi="Arial" w:cs="Arial"/>
                <w:color w:val="000000"/>
                <w:sz w:val="18"/>
                <w:szCs w:val="18"/>
                <w:vertAlign w:val="superscript"/>
              </w:rPr>
              <w:t>b</w:t>
            </w:r>
          </w:p>
        </w:tc>
      </w:tr>
      <w:tr w:rsidR="00724515" w:rsidTr="00CD2D6B">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D2D6B" w:rsidRPr="006F578C" w:rsidRDefault="00CD2D6B" w:rsidP="0058238E">
            <w:pPr>
              <w:autoSpaceDE w:val="0"/>
              <w:autoSpaceDN w:val="0"/>
              <w:adjustRightInd w:val="0"/>
              <w:spacing w:after="0" w:line="240" w:lineRule="auto"/>
              <w:rPr>
                <w:rFonts w:ascii="Arial" w:hAnsi="Arial" w:cs="Arial"/>
                <w:color w:val="000000"/>
                <w:sz w:val="18"/>
                <w:szCs w:val="18"/>
              </w:rPr>
            </w:pPr>
          </w:p>
        </w:tc>
        <w:tc>
          <w:tcPr>
            <w:tcW w:w="1269" w:type="dxa"/>
            <w:gridSpan w:val="2"/>
            <w:tcBorders>
              <w:top w:val="nil"/>
              <w:left w:val="nil"/>
              <w:bottom w:val="nil"/>
              <w:right w:val="single" w:sz="16" w:space="0" w:color="000000"/>
            </w:tcBorders>
            <w:shd w:val="clear" w:color="auto" w:fill="FFFFFF"/>
            <w:vAlign w:val="center"/>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Residual</w:t>
            </w:r>
          </w:p>
        </w:tc>
        <w:tc>
          <w:tcPr>
            <w:tcW w:w="1469" w:type="dxa"/>
            <w:gridSpan w:val="2"/>
            <w:tcBorders>
              <w:top w:val="nil"/>
              <w:left w:val="single" w:sz="16" w:space="0" w:color="000000"/>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5254752.679</w:t>
            </w:r>
          </w:p>
        </w:tc>
        <w:tc>
          <w:tcPr>
            <w:tcW w:w="1009" w:type="dxa"/>
            <w:gridSpan w:val="2"/>
            <w:tcBorders>
              <w:top w:val="nil"/>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3</w:t>
            </w:r>
          </w:p>
        </w:tc>
        <w:tc>
          <w:tcPr>
            <w:tcW w:w="1469" w:type="dxa"/>
            <w:gridSpan w:val="2"/>
            <w:tcBorders>
              <w:top w:val="nil"/>
              <w:bottom w:val="nil"/>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1751584.226</w:t>
            </w:r>
          </w:p>
        </w:tc>
        <w:tc>
          <w:tcPr>
            <w:tcW w:w="1009" w:type="dxa"/>
            <w:gridSpan w:val="2"/>
            <w:tcBorders>
              <w:top w:val="nil"/>
              <w:bottom w:val="nil"/>
            </w:tcBorders>
            <w:shd w:val="clear" w:color="auto" w:fill="FFFFFF"/>
          </w:tcPr>
          <w:p w:rsidR="00CD2D6B" w:rsidRPr="006F578C" w:rsidRDefault="00CD2D6B" w:rsidP="0058238E">
            <w:pPr>
              <w:autoSpaceDE w:val="0"/>
              <w:autoSpaceDN w:val="0"/>
              <w:adjustRightInd w:val="0"/>
              <w:spacing w:after="0" w:line="240" w:lineRule="auto"/>
              <w:rPr>
                <w:rFonts w:ascii="Times New Roman" w:hAnsi="Times New Roman" w:cs="Times New Roman"/>
                <w:sz w:val="24"/>
                <w:szCs w:val="24"/>
              </w:rPr>
            </w:pPr>
          </w:p>
        </w:tc>
        <w:tc>
          <w:tcPr>
            <w:tcW w:w="1009" w:type="dxa"/>
            <w:tcBorders>
              <w:top w:val="nil"/>
              <w:bottom w:val="nil"/>
              <w:right w:val="single" w:sz="16" w:space="0" w:color="000000"/>
            </w:tcBorders>
            <w:shd w:val="clear" w:color="auto" w:fill="FFFFFF"/>
          </w:tcPr>
          <w:p w:rsidR="00CD2D6B" w:rsidRPr="006F578C" w:rsidRDefault="00CD2D6B" w:rsidP="0058238E">
            <w:pPr>
              <w:autoSpaceDE w:val="0"/>
              <w:autoSpaceDN w:val="0"/>
              <w:adjustRightInd w:val="0"/>
              <w:spacing w:after="0" w:line="240" w:lineRule="auto"/>
              <w:rPr>
                <w:rFonts w:ascii="Times New Roman" w:hAnsi="Times New Roman" w:cs="Times New Roman"/>
                <w:sz w:val="24"/>
                <w:szCs w:val="24"/>
              </w:rPr>
            </w:pPr>
          </w:p>
        </w:tc>
      </w:tr>
      <w:tr w:rsidR="00724515" w:rsidTr="00CD2D6B">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D2D6B" w:rsidRPr="006F578C" w:rsidRDefault="00CD2D6B" w:rsidP="0058238E">
            <w:pPr>
              <w:autoSpaceDE w:val="0"/>
              <w:autoSpaceDN w:val="0"/>
              <w:adjustRightInd w:val="0"/>
              <w:spacing w:after="0" w:line="240" w:lineRule="auto"/>
              <w:rPr>
                <w:rFonts w:ascii="Times New Roman" w:hAnsi="Times New Roman" w:cs="Times New Roman"/>
                <w:sz w:val="24"/>
                <w:szCs w:val="24"/>
              </w:rPr>
            </w:pPr>
          </w:p>
        </w:tc>
        <w:tc>
          <w:tcPr>
            <w:tcW w:w="1269" w:type="dxa"/>
            <w:gridSpan w:val="2"/>
            <w:tcBorders>
              <w:top w:val="nil"/>
              <w:left w:val="nil"/>
              <w:bottom w:val="single" w:sz="16" w:space="0" w:color="000000"/>
              <w:right w:val="single" w:sz="16" w:space="0" w:color="000000"/>
            </w:tcBorders>
            <w:shd w:val="clear" w:color="auto" w:fill="FFFFFF"/>
            <w:vAlign w:val="center"/>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Total</w:t>
            </w:r>
          </w:p>
        </w:tc>
        <w:tc>
          <w:tcPr>
            <w:tcW w:w="1469" w:type="dxa"/>
            <w:gridSpan w:val="2"/>
            <w:tcBorders>
              <w:top w:val="nil"/>
              <w:left w:val="single" w:sz="16" w:space="0" w:color="000000"/>
              <w:bottom w:val="single" w:sz="16" w:space="0" w:color="000000"/>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24787750.040</w:t>
            </w:r>
          </w:p>
        </w:tc>
        <w:tc>
          <w:tcPr>
            <w:tcW w:w="1009" w:type="dxa"/>
            <w:gridSpan w:val="2"/>
            <w:tcBorders>
              <w:top w:val="nil"/>
              <w:bottom w:val="single" w:sz="16" w:space="0" w:color="000000"/>
            </w:tcBorders>
            <w:shd w:val="clear" w:color="auto" w:fill="FFFFFF"/>
            <w:vAlign w:val="center"/>
          </w:tcPr>
          <w:p w:rsidR="00CD2D6B" w:rsidRPr="006F578C"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6F578C">
              <w:rPr>
                <w:rFonts w:ascii="Arial" w:hAnsi="Arial" w:cs="Arial"/>
                <w:color w:val="000000"/>
                <w:sz w:val="18"/>
                <w:szCs w:val="18"/>
              </w:rPr>
              <w:t>4</w:t>
            </w:r>
          </w:p>
        </w:tc>
        <w:tc>
          <w:tcPr>
            <w:tcW w:w="1469" w:type="dxa"/>
            <w:gridSpan w:val="2"/>
            <w:tcBorders>
              <w:top w:val="nil"/>
              <w:bottom w:val="single" w:sz="16" w:space="0" w:color="000000"/>
            </w:tcBorders>
            <w:shd w:val="clear" w:color="auto" w:fill="FFFFFF"/>
          </w:tcPr>
          <w:p w:rsidR="00CD2D6B" w:rsidRPr="006F578C" w:rsidRDefault="00CD2D6B" w:rsidP="0058238E">
            <w:pPr>
              <w:autoSpaceDE w:val="0"/>
              <w:autoSpaceDN w:val="0"/>
              <w:adjustRightInd w:val="0"/>
              <w:spacing w:after="0" w:line="240" w:lineRule="auto"/>
              <w:rPr>
                <w:rFonts w:ascii="Times New Roman" w:hAnsi="Times New Roman" w:cs="Times New Roman"/>
                <w:sz w:val="24"/>
                <w:szCs w:val="24"/>
              </w:rPr>
            </w:pPr>
          </w:p>
        </w:tc>
        <w:tc>
          <w:tcPr>
            <w:tcW w:w="1009" w:type="dxa"/>
            <w:gridSpan w:val="2"/>
            <w:tcBorders>
              <w:top w:val="nil"/>
              <w:bottom w:val="single" w:sz="16" w:space="0" w:color="000000"/>
            </w:tcBorders>
            <w:shd w:val="clear" w:color="auto" w:fill="FFFFFF"/>
          </w:tcPr>
          <w:p w:rsidR="00CD2D6B" w:rsidRPr="006F578C" w:rsidRDefault="00CD2D6B" w:rsidP="0058238E">
            <w:pPr>
              <w:autoSpaceDE w:val="0"/>
              <w:autoSpaceDN w:val="0"/>
              <w:adjustRightInd w:val="0"/>
              <w:spacing w:after="0" w:line="240" w:lineRule="auto"/>
              <w:rPr>
                <w:rFonts w:ascii="Times New Roman" w:hAnsi="Times New Roman" w:cs="Times New Roman"/>
                <w:sz w:val="24"/>
                <w:szCs w:val="24"/>
              </w:rPr>
            </w:pPr>
          </w:p>
        </w:tc>
        <w:tc>
          <w:tcPr>
            <w:tcW w:w="1009" w:type="dxa"/>
            <w:tcBorders>
              <w:top w:val="nil"/>
              <w:bottom w:val="single" w:sz="16" w:space="0" w:color="000000"/>
              <w:right w:val="single" w:sz="16" w:space="0" w:color="000000"/>
            </w:tcBorders>
            <w:shd w:val="clear" w:color="auto" w:fill="FFFFFF"/>
          </w:tcPr>
          <w:p w:rsidR="00CD2D6B" w:rsidRPr="006F578C" w:rsidRDefault="00CD2D6B" w:rsidP="0058238E">
            <w:pPr>
              <w:autoSpaceDE w:val="0"/>
              <w:autoSpaceDN w:val="0"/>
              <w:adjustRightInd w:val="0"/>
              <w:spacing w:after="0" w:line="240" w:lineRule="auto"/>
              <w:rPr>
                <w:rFonts w:ascii="Times New Roman" w:hAnsi="Times New Roman" w:cs="Times New Roman"/>
                <w:sz w:val="24"/>
                <w:szCs w:val="24"/>
              </w:rPr>
            </w:pPr>
          </w:p>
        </w:tc>
      </w:tr>
      <w:tr w:rsidR="00724515" w:rsidTr="00CD2D6B">
        <w:trPr>
          <w:cantSplit/>
        </w:trPr>
        <w:tc>
          <w:tcPr>
            <w:tcW w:w="7969" w:type="dxa"/>
            <w:gridSpan w:val="12"/>
            <w:tcBorders>
              <w:top w:val="nil"/>
              <w:left w:val="nil"/>
              <w:bottom w:val="nil"/>
              <w:right w:val="nil"/>
            </w:tcBorders>
            <w:shd w:val="clear" w:color="auto" w:fill="FFFFFF"/>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a. Dependent Variable: Costs</w:t>
            </w:r>
          </w:p>
        </w:tc>
      </w:tr>
      <w:tr w:rsidR="00724515" w:rsidTr="00CD2D6B">
        <w:trPr>
          <w:cantSplit/>
        </w:trPr>
        <w:tc>
          <w:tcPr>
            <w:tcW w:w="7969" w:type="dxa"/>
            <w:gridSpan w:val="12"/>
            <w:tcBorders>
              <w:top w:val="nil"/>
              <w:left w:val="nil"/>
              <w:bottom w:val="nil"/>
              <w:right w:val="nil"/>
            </w:tcBorders>
            <w:shd w:val="clear" w:color="auto" w:fill="FFFFFF"/>
          </w:tcPr>
          <w:p w:rsidR="00CD2D6B" w:rsidRPr="006F578C" w:rsidRDefault="0022136D" w:rsidP="0058238E">
            <w:pPr>
              <w:autoSpaceDE w:val="0"/>
              <w:autoSpaceDN w:val="0"/>
              <w:adjustRightInd w:val="0"/>
              <w:spacing w:after="0" w:line="320" w:lineRule="atLeast"/>
              <w:ind w:left="60" w:right="60"/>
              <w:rPr>
                <w:rFonts w:ascii="Arial" w:hAnsi="Arial" w:cs="Arial"/>
                <w:color w:val="000000"/>
                <w:sz w:val="18"/>
                <w:szCs w:val="18"/>
              </w:rPr>
            </w:pPr>
            <w:r w:rsidRPr="006F578C">
              <w:rPr>
                <w:rFonts w:ascii="Arial" w:hAnsi="Arial" w:cs="Arial"/>
                <w:color w:val="000000"/>
                <w:sz w:val="18"/>
                <w:szCs w:val="18"/>
              </w:rPr>
              <w:t>b. Predictors: (Constant), Variables</w:t>
            </w:r>
          </w:p>
        </w:tc>
      </w:tr>
      <w:tr w:rsidR="00724515" w:rsidTr="00CD2D6B">
        <w:trPr>
          <w:cantSplit/>
        </w:trPr>
        <w:tc>
          <w:tcPr>
            <w:tcW w:w="7969" w:type="dxa"/>
            <w:gridSpan w:val="12"/>
            <w:tcBorders>
              <w:top w:val="nil"/>
              <w:left w:val="nil"/>
              <w:bottom w:val="nil"/>
              <w:right w:val="nil"/>
            </w:tcBorders>
            <w:shd w:val="clear" w:color="auto" w:fill="FFFFFF"/>
          </w:tcPr>
          <w:p w:rsidR="00CD2D6B" w:rsidRPr="00CD2D6B" w:rsidRDefault="00CD2D6B" w:rsidP="00CD2D6B">
            <w:pPr>
              <w:autoSpaceDE w:val="0"/>
              <w:autoSpaceDN w:val="0"/>
              <w:adjustRightInd w:val="0"/>
              <w:spacing w:after="0" w:line="320" w:lineRule="atLeast"/>
              <w:ind w:left="60" w:right="60"/>
              <w:rPr>
                <w:rFonts w:ascii="Arial" w:hAnsi="Arial" w:cs="Arial"/>
                <w:color w:val="000000"/>
                <w:sz w:val="18"/>
                <w:szCs w:val="18"/>
              </w:rPr>
            </w:pPr>
          </w:p>
          <w:p w:rsidR="00CD2D6B" w:rsidRPr="00CD2D6B" w:rsidRDefault="00CD2D6B" w:rsidP="00CD2D6B">
            <w:pPr>
              <w:autoSpaceDE w:val="0"/>
              <w:autoSpaceDN w:val="0"/>
              <w:adjustRightInd w:val="0"/>
              <w:spacing w:after="0" w:line="320" w:lineRule="atLeast"/>
              <w:ind w:left="60" w:right="60"/>
              <w:rPr>
                <w:rFonts w:ascii="Arial" w:hAnsi="Arial" w:cs="Arial"/>
                <w:color w:val="000000"/>
                <w:sz w:val="18"/>
                <w:szCs w:val="18"/>
              </w:rPr>
            </w:pPr>
          </w:p>
          <w:p w:rsidR="00CD2D6B" w:rsidRPr="00D4255D" w:rsidRDefault="0022136D" w:rsidP="00CD2D6B">
            <w:pPr>
              <w:autoSpaceDE w:val="0"/>
              <w:autoSpaceDN w:val="0"/>
              <w:adjustRightInd w:val="0"/>
              <w:spacing w:after="0" w:line="320" w:lineRule="atLeast"/>
              <w:ind w:left="60" w:right="60"/>
              <w:rPr>
                <w:rFonts w:ascii="Arial" w:hAnsi="Arial" w:cs="Arial"/>
                <w:color w:val="000000"/>
                <w:sz w:val="18"/>
                <w:szCs w:val="18"/>
              </w:rPr>
            </w:pPr>
            <w:r w:rsidRPr="00CD2D6B">
              <w:rPr>
                <w:rFonts w:ascii="Arial" w:hAnsi="Arial" w:cs="Arial"/>
                <w:color w:val="000000"/>
                <w:sz w:val="18"/>
                <w:szCs w:val="18"/>
              </w:rPr>
              <w:t>Paired Samples Correlations</w:t>
            </w:r>
          </w:p>
        </w:tc>
      </w:tr>
      <w:tr w:rsidR="00724515" w:rsidTr="00CD2D6B">
        <w:trPr>
          <w:gridAfter w:val="2"/>
          <w:wAfter w:w="1529" w:type="dxa"/>
          <w:cantSplit/>
        </w:trPr>
        <w:tc>
          <w:tcPr>
            <w:tcW w:w="3213" w:type="dxa"/>
            <w:gridSpan w:val="4"/>
            <w:tcBorders>
              <w:top w:val="single" w:sz="16" w:space="0" w:color="000000"/>
              <w:left w:val="single" w:sz="16" w:space="0" w:color="000000"/>
              <w:bottom w:val="single" w:sz="16" w:space="0" w:color="000000"/>
              <w:right w:val="nil"/>
            </w:tcBorders>
            <w:shd w:val="clear" w:color="auto" w:fill="FFFFFF"/>
          </w:tcPr>
          <w:p w:rsidR="00CD2D6B" w:rsidRPr="00D4255D" w:rsidRDefault="00CD2D6B" w:rsidP="0058238E">
            <w:pPr>
              <w:autoSpaceDE w:val="0"/>
              <w:autoSpaceDN w:val="0"/>
              <w:adjustRightInd w:val="0"/>
              <w:spacing w:after="0" w:line="320" w:lineRule="atLeast"/>
              <w:ind w:left="60" w:right="60"/>
              <w:rPr>
                <w:rFonts w:ascii="Arial" w:hAnsi="Arial" w:cs="Arial"/>
                <w:color w:val="000000"/>
                <w:sz w:val="18"/>
                <w:szCs w:val="18"/>
              </w:rPr>
            </w:pPr>
          </w:p>
        </w:tc>
        <w:tc>
          <w:tcPr>
            <w:tcW w:w="1009" w:type="dxa"/>
            <w:gridSpan w:val="2"/>
            <w:tcBorders>
              <w:top w:val="single" w:sz="16" w:space="0" w:color="000000"/>
              <w:left w:val="single" w:sz="16" w:space="0" w:color="000000"/>
              <w:bottom w:val="single" w:sz="16" w:space="0" w:color="000000"/>
            </w:tcBorders>
            <w:shd w:val="clear" w:color="auto" w:fill="FFFFFF"/>
          </w:tcPr>
          <w:p w:rsidR="00CD2D6B" w:rsidRPr="00D4255D"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D4255D">
              <w:rPr>
                <w:rFonts w:ascii="Arial" w:hAnsi="Arial" w:cs="Arial"/>
                <w:color w:val="000000"/>
                <w:sz w:val="18"/>
                <w:szCs w:val="18"/>
              </w:rPr>
              <w:t>N</w:t>
            </w:r>
          </w:p>
        </w:tc>
        <w:tc>
          <w:tcPr>
            <w:tcW w:w="1209" w:type="dxa"/>
            <w:gridSpan w:val="2"/>
            <w:tcBorders>
              <w:top w:val="single" w:sz="16" w:space="0" w:color="000000"/>
              <w:bottom w:val="single" w:sz="16" w:space="0" w:color="000000"/>
            </w:tcBorders>
            <w:shd w:val="clear" w:color="auto" w:fill="FFFFFF"/>
          </w:tcPr>
          <w:p w:rsidR="00CD2D6B" w:rsidRPr="00D4255D"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D4255D">
              <w:rPr>
                <w:rFonts w:ascii="Arial" w:hAnsi="Arial" w:cs="Arial"/>
                <w:color w:val="000000"/>
                <w:sz w:val="18"/>
                <w:szCs w:val="18"/>
              </w:rPr>
              <w:t>Correlation</w:t>
            </w:r>
          </w:p>
        </w:tc>
        <w:tc>
          <w:tcPr>
            <w:tcW w:w="1009" w:type="dxa"/>
            <w:gridSpan w:val="2"/>
            <w:tcBorders>
              <w:top w:val="single" w:sz="16" w:space="0" w:color="000000"/>
              <w:bottom w:val="single" w:sz="16" w:space="0" w:color="000000"/>
              <w:right w:val="single" w:sz="16" w:space="0" w:color="000000"/>
            </w:tcBorders>
            <w:shd w:val="clear" w:color="auto" w:fill="FFFFFF"/>
          </w:tcPr>
          <w:p w:rsidR="00CD2D6B" w:rsidRPr="00D4255D" w:rsidRDefault="0022136D" w:rsidP="0058238E">
            <w:pPr>
              <w:autoSpaceDE w:val="0"/>
              <w:autoSpaceDN w:val="0"/>
              <w:adjustRightInd w:val="0"/>
              <w:spacing w:after="0" w:line="320" w:lineRule="atLeast"/>
              <w:ind w:left="60" w:right="60"/>
              <w:jc w:val="center"/>
              <w:rPr>
                <w:rFonts w:ascii="Arial" w:hAnsi="Arial" w:cs="Arial"/>
                <w:color w:val="000000"/>
                <w:sz w:val="18"/>
                <w:szCs w:val="18"/>
              </w:rPr>
            </w:pPr>
            <w:r w:rsidRPr="00D4255D">
              <w:rPr>
                <w:rFonts w:ascii="Arial" w:hAnsi="Arial" w:cs="Arial"/>
                <w:color w:val="000000"/>
                <w:sz w:val="18"/>
                <w:szCs w:val="18"/>
              </w:rPr>
              <w:t>Sig.</w:t>
            </w:r>
          </w:p>
        </w:tc>
      </w:tr>
      <w:tr w:rsidR="00724515" w:rsidTr="00CD2D6B">
        <w:trPr>
          <w:gridAfter w:val="2"/>
          <w:wAfter w:w="1529" w:type="dxa"/>
          <w:cantSplit/>
        </w:trPr>
        <w:tc>
          <w:tcPr>
            <w:tcW w:w="765" w:type="dxa"/>
            <w:gridSpan w:val="2"/>
            <w:tcBorders>
              <w:top w:val="single" w:sz="16" w:space="0" w:color="000000"/>
              <w:left w:val="single" w:sz="16" w:space="0" w:color="000000"/>
              <w:bottom w:val="single" w:sz="16" w:space="0" w:color="000000"/>
              <w:right w:val="nil"/>
            </w:tcBorders>
            <w:shd w:val="clear" w:color="auto" w:fill="FFFFFF"/>
            <w:vAlign w:val="center"/>
          </w:tcPr>
          <w:p w:rsidR="00CD2D6B" w:rsidRPr="00D4255D" w:rsidRDefault="0022136D" w:rsidP="0058238E">
            <w:pPr>
              <w:autoSpaceDE w:val="0"/>
              <w:autoSpaceDN w:val="0"/>
              <w:adjustRightInd w:val="0"/>
              <w:spacing w:after="0" w:line="320" w:lineRule="atLeast"/>
              <w:ind w:left="60" w:right="60"/>
              <w:rPr>
                <w:rFonts w:ascii="Arial" w:hAnsi="Arial" w:cs="Arial"/>
                <w:color w:val="000000"/>
                <w:sz w:val="18"/>
                <w:szCs w:val="18"/>
              </w:rPr>
            </w:pPr>
            <w:r w:rsidRPr="00D4255D">
              <w:rPr>
                <w:rFonts w:ascii="Arial" w:hAnsi="Arial" w:cs="Arial"/>
                <w:color w:val="000000"/>
                <w:sz w:val="18"/>
                <w:szCs w:val="18"/>
              </w:rPr>
              <w:t>Pair 1</w:t>
            </w:r>
          </w:p>
        </w:tc>
        <w:tc>
          <w:tcPr>
            <w:tcW w:w="2448" w:type="dxa"/>
            <w:gridSpan w:val="2"/>
            <w:tcBorders>
              <w:top w:val="single" w:sz="16" w:space="0" w:color="000000"/>
              <w:left w:val="nil"/>
              <w:bottom w:val="single" w:sz="16" w:space="0" w:color="000000"/>
              <w:right w:val="single" w:sz="16" w:space="0" w:color="000000"/>
            </w:tcBorders>
            <w:shd w:val="clear" w:color="auto" w:fill="FFFFFF"/>
            <w:vAlign w:val="center"/>
          </w:tcPr>
          <w:p w:rsidR="00CD2D6B" w:rsidRPr="00D4255D" w:rsidRDefault="0022136D" w:rsidP="0058238E">
            <w:pPr>
              <w:autoSpaceDE w:val="0"/>
              <w:autoSpaceDN w:val="0"/>
              <w:adjustRightInd w:val="0"/>
              <w:spacing w:after="0" w:line="320" w:lineRule="atLeast"/>
              <w:ind w:left="60" w:right="60"/>
              <w:rPr>
                <w:rFonts w:ascii="Arial" w:hAnsi="Arial" w:cs="Arial"/>
                <w:color w:val="000000"/>
                <w:sz w:val="18"/>
                <w:szCs w:val="18"/>
              </w:rPr>
            </w:pPr>
            <w:r w:rsidRPr="00D4255D">
              <w:rPr>
                <w:rFonts w:ascii="Arial" w:hAnsi="Arial" w:cs="Arial"/>
                <w:color w:val="000000"/>
                <w:sz w:val="18"/>
                <w:szCs w:val="18"/>
              </w:rPr>
              <w:t>Variable &amp; Costs associated</w:t>
            </w:r>
          </w:p>
        </w:tc>
        <w:tc>
          <w:tcPr>
            <w:tcW w:w="1009" w:type="dxa"/>
            <w:gridSpan w:val="2"/>
            <w:tcBorders>
              <w:top w:val="single" w:sz="16" w:space="0" w:color="000000"/>
              <w:left w:val="single" w:sz="16" w:space="0" w:color="000000"/>
              <w:bottom w:val="single" w:sz="16" w:space="0" w:color="000000"/>
            </w:tcBorders>
            <w:shd w:val="clear" w:color="auto" w:fill="FFFFFF"/>
            <w:vAlign w:val="center"/>
          </w:tcPr>
          <w:p w:rsidR="00CD2D6B" w:rsidRPr="00D4255D"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D4255D">
              <w:rPr>
                <w:rFonts w:ascii="Arial" w:hAnsi="Arial" w:cs="Arial"/>
                <w:color w:val="000000"/>
                <w:sz w:val="18"/>
                <w:szCs w:val="18"/>
              </w:rPr>
              <w:t>5</w:t>
            </w:r>
          </w:p>
        </w:tc>
        <w:tc>
          <w:tcPr>
            <w:tcW w:w="1209" w:type="dxa"/>
            <w:gridSpan w:val="2"/>
            <w:tcBorders>
              <w:top w:val="single" w:sz="16" w:space="0" w:color="000000"/>
              <w:bottom w:val="single" w:sz="16" w:space="0" w:color="000000"/>
            </w:tcBorders>
            <w:shd w:val="clear" w:color="auto" w:fill="FFFFFF"/>
            <w:vAlign w:val="center"/>
          </w:tcPr>
          <w:p w:rsidR="00CD2D6B" w:rsidRPr="00D4255D"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D4255D">
              <w:rPr>
                <w:rFonts w:ascii="Arial" w:hAnsi="Arial" w:cs="Arial"/>
                <w:color w:val="000000"/>
                <w:sz w:val="18"/>
                <w:szCs w:val="18"/>
              </w:rPr>
              <w:t>.888</w:t>
            </w:r>
          </w:p>
        </w:tc>
        <w:tc>
          <w:tcPr>
            <w:tcW w:w="1009" w:type="dxa"/>
            <w:gridSpan w:val="2"/>
            <w:tcBorders>
              <w:top w:val="single" w:sz="16" w:space="0" w:color="000000"/>
              <w:bottom w:val="single" w:sz="16" w:space="0" w:color="000000"/>
              <w:right w:val="single" w:sz="16" w:space="0" w:color="000000"/>
            </w:tcBorders>
            <w:shd w:val="clear" w:color="auto" w:fill="FFFFFF"/>
            <w:vAlign w:val="center"/>
          </w:tcPr>
          <w:p w:rsidR="00CD2D6B" w:rsidRPr="00D4255D" w:rsidRDefault="0022136D" w:rsidP="0058238E">
            <w:pPr>
              <w:autoSpaceDE w:val="0"/>
              <w:autoSpaceDN w:val="0"/>
              <w:adjustRightInd w:val="0"/>
              <w:spacing w:after="0" w:line="320" w:lineRule="atLeast"/>
              <w:ind w:left="60" w:right="60"/>
              <w:jc w:val="right"/>
              <w:rPr>
                <w:rFonts w:ascii="Arial" w:hAnsi="Arial" w:cs="Arial"/>
                <w:color w:val="000000"/>
                <w:sz w:val="18"/>
                <w:szCs w:val="18"/>
              </w:rPr>
            </w:pPr>
            <w:r w:rsidRPr="00D4255D">
              <w:rPr>
                <w:rFonts w:ascii="Arial" w:hAnsi="Arial" w:cs="Arial"/>
                <w:color w:val="000000"/>
                <w:sz w:val="18"/>
                <w:szCs w:val="18"/>
              </w:rPr>
              <w:t>.044</w:t>
            </w:r>
          </w:p>
        </w:tc>
      </w:tr>
    </w:tbl>
    <w:p w:rsidR="00CD2D6B" w:rsidRPr="00CD2D6B" w:rsidRDefault="0022136D" w:rsidP="00CD2D6B">
      <w:pPr>
        <w:shd w:val="clear" w:color="auto" w:fill="FFFFFF"/>
        <w:spacing w:after="0" w:line="390" w:lineRule="atLeast"/>
        <w:rPr>
          <w:rFonts w:ascii="Times New Roman" w:eastAsia="Times New Roman" w:hAnsi="Times New Roman" w:cs="Times New Roman"/>
          <w:b/>
          <w:color w:val="363636"/>
          <w:sz w:val="26"/>
          <w:szCs w:val="26"/>
        </w:rPr>
      </w:pPr>
      <w:r>
        <w:rPr>
          <w:noProof/>
        </w:rPr>
        <w:drawing>
          <wp:anchor distT="0" distB="0" distL="114300" distR="114300" simplePos="0" relativeHeight="251658240" behindDoc="0" locked="0" layoutInCell="1" allowOverlap="1">
            <wp:simplePos x="0" y="0"/>
            <wp:positionH relativeFrom="column">
              <wp:posOffset>152400</wp:posOffset>
            </wp:positionH>
            <wp:positionV relativeFrom="paragraph">
              <wp:posOffset>1429385</wp:posOffset>
            </wp:positionV>
            <wp:extent cx="5267325" cy="3286125"/>
            <wp:effectExtent l="0" t="0" r="9525" b="9525"/>
            <wp:wrapSquare wrapText="bothSides"/>
            <wp:docPr id="1" name="Chart 1">
              <a:extLst xmlns:a="http://schemas.openxmlformats.org/drawingml/2006/main">
                <a:ext uri="{FF2B5EF4-FFF2-40B4-BE49-F238E27FC236}">
                  <a16:creationId xmlns="" xmlns:a16="http://schemas.microsoft.com/office/drawing/2014/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o="urn:schemas-microsoft-com:office:office" xmlns:v="urn:schemas-microsoft-com:vml" xmlns:w="http://schemas.openxmlformats.org/wordprocessingml/2006/main" xmlns:w10="urn:schemas-microsoft-com:office:word"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ve="http://schemas.openxmlformats.org/markup-compatibility/2006" id="{056F72F5-CC71-45E8-9D8D-FFCCE1AEB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sectPr w:rsidR="00CD2D6B" w:rsidRPr="00CD2D6B" w:rsidSect="00370E8B">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A71" w:rsidRDefault="00643A71" w:rsidP="00724515">
      <w:pPr>
        <w:spacing w:after="0" w:line="240" w:lineRule="auto"/>
      </w:pPr>
      <w:r>
        <w:separator/>
      </w:r>
    </w:p>
  </w:endnote>
  <w:endnote w:type="continuationSeparator" w:id="0">
    <w:p w:rsidR="00643A71" w:rsidRDefault="00643A71" w:rsidP="00724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A71" w:rsidRDefault="00643A71" w:rsidP="00724515">
      <w:pPr>
        <w:spacing w:after="0" w:line="240" w:lineRule="auto"/>
      </w:pPr>
      <w:r>
        <w:separator/>
      </w:r>
    </w:p>
  </w:footnote>
  <w:footnote w:type="continuationSeparator" w:id="0">
    <w:p w:rsidR="00643A71" w:rsidRDefault="00643A71" w:rsidP="00724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E8B" w:rsidRDefault="0022136D" w:rsidP="00370E8B">
    <w:pPr>
      <w:pStyle w:val="Header"/>
      <w:tabs>
        <w:tab w:val="clear" w:pos="4680"/>
      </w:tabs>
    </w:pPr>
    <w:r>
      <w:rPr>
        <w:rFonts w:ascii="Times New Roman" w:hAnsi="Times New Roman" w:cs="Times New Roman"/>
        <w:sz w:val="24"/>
      </w:rPr>
      <w:t>THE COST OF LIVING</w:t>
    </w:r>
    <w:r>
      <w:rPr>
        <w:rFonts w:ascii="Times New Roman" w:hAnsi="Times New Roman" w:cs="Times New Roman"/>
        <w:sz w:val="24"/>
      </w:rPr>
      <w:tab/>
    </w:r>
    <w:r w:rsidR="00724515">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sidR="00724515">
      <w:rPr>
        <w:rFonts w:ascii="Times New Roman" w:hAnsi="Times New Roman" w:cs="Times New Roman"/>
        <w:sz w:val="24"/>
      </w:rPr>
      <w:fldChar w:fldCharType="separate"/>
    </w:r>
    <w:r w:rsidR="00B82DC9">
      <w:rPr>
        <w:rFonts w:ascii="Times New Roman" w:hAnsi="Times New Roman" w:cs="Times New Roman"/>
        <w:noProof/>
        <w:sz w:val="24"/>
      </w:rPr>
      <w:t>2</w:t>
    </w:r>
    <w:r w:rsidR="00724515">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E8B" w:rsidRPr="00370E8B" w:rsidRDefault="0022136D" w:rsidP="00370E8B">
    <w:pPr>
      <w:tabs>
        <w:tab w:val="right" w:pos="9360"/>
      </w:tabs>
      <w:rPr>
        <w:rFonts w:ascii="Times New Roman" w:hAnsi="Times New Roman" w:cs="Times New Roman"/>
        <w:sz w:val="24"/>
      </w:rPr>
    </w:pPr>
    <w:r>
      <w:rPr>
        <w:rFonts w:ascii="Times New Roman" w:hAnsi="Times New Roman" w:cs="Times New Roman"/>
        <w:sz w:val="24"/>
      </w:rPr>
      <w:t>Running head: THE COST OF LIVING</w:t>
    </w:r>
    <w:r>
      <w:rPr>
        <w:rFonts w:ascii="Times New Roman" w:hAnsi="Times New Roman" w:cs="Times New Roman"/>
        <w:sz w:val="24"/>
      </w:rPr>
      <w:tab/>
    </w:r>
    <w:r w:rsidR="00724515">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sidR="00724515">
      <w:rPr>
        <w:rFonts w:ascii="Times New Roman" w:hAnsi="Times New Roman" w:cs="Times New Roman"/>
        <w:sz w:val="24"/>
      </w:rPr>
      <w:fldChar w:fldCharType="separate"/>
    </w:r>
    <w:r w:rsidR="00643A71">
      <w:rPr>
        <w:rFonts w:ascii="Times New Roman" w:hAnsi="Times New Roman" w:cs="Times New Roman"/>
        <w:noProof/>
        <w:sz w:val="24"/>
      </w:rPr>
      <w:t>1</w:t>
    </w:r>
    <w:r w:rsidR="00724515">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B54582"/>
    <w:multiLevelType w:val="multilevel"/>
    <w:tmpl w:val="9DC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F24DE8"/>
    <w:multiLevelType w:val="multilevel"/>
    <w:tmpl w:val="230AB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61FA9"/>
    <w:rsid w:val="00050D7C"/>
    <w:rsid w:val="000D7720"/>
    <w:rsid w:val="000F2FC0"/>
    <w:rsid w:val="00103603"/>
    <w:rsid w:val="001C5032"/>
    <w:rsid w:val="001F5951"/>
    <w:rsid w:val="00212089"/>
    <w:rsid w:val="00213D87"/>
    <w:rsid w:val="0022136D"/>
    <w:rsid w:val="00232A96"/>
    <w:rsid w:val="00254665"/>
    <w:rsid w:val="00274B0A"/>
    <w:rsid w:val="00295986"/>
    <w:rsid w:val="00327AAA"/>
    <w:rsid w:val="00332C86"/>
    <w:rsid w:val="00370E8B"/>
    <w:rsid w:val="003869D7"/>
    <w:rsid w:val="00386CE9"/>
    <w:rsid w:val="003F340E"/>
    <w:rsid w:val="00461FA9"/>
    <w:rsid w:val="004C6886"/>
    <w:rsid w:val="0058238E"/>
    <w:rsid w:val="005D50E8"/>
    <w:rsid w:val="00643A71"/>
    <w:rsid w:val="006F578C"/>
    <w:rsid w:val="00706726"/>
    <w:rsid w:val="00724515"/>
    <w:rsid w:val="0072684F"/>
    <w:rsid w:val="007F7852"/>
    <w:rsid w:val="008A1D1A"/>
    <w:rsid w:val="008A7088"/>
    <w:rsid w:val="00961C7D"/>
    <w:rsid w:val="0099300A"/>
    <w:rsid w:val="00A35870"/>
    <w:rsid w:val="00A464AB"/>
    <w:rsid w:val="00A941CF"/>
    <w:rsid w:val="00AA5B90"/>
    <w:rsid w:val="00AD2C64"/>
    <w:rsid w:val="00B612C8"/>
    <w:rsid w:val="00B67D44"/>
    <w:rsid w:val="00B82DC9"/>
    <w:rsid w:val="00B91E54"/>
    <w:rsid w:val="00C235F6"/>
    <w:rsid w:val="00CB4C42"/>
    <w:rsid w:val="00CD2D6B"/>
    <w:rsid w:val="00CF7B79"/>
    <w:rsid w:val="00D412E5"/>
    <w:rsid w:val="00D4255D"/>
    <w:rsid w:val="00DC3B10"/>
    <w:rsid w:val="00EA23E0"/>
    <w:rsid w:val="00EF42FD"/>
    <w:rsid w:val="00F11F3F"/>
    <w:rsid w:val="00FC77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6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rplelight">
    <w:name w:val="purple_light"/>
    <w:basedOn w:val="DefaultParagraphFont"/>
    <w:rsid w:val="00254665"/>
  </w:style>
  <w:style w:type="character" w:customStyle="1" w:styleId="empnumber">
    <w:name w:val="emp_number"/>
    <w:basedOn w:val="DefaultParagraphFont"/>
    <w:rsid w:val="00254665"/>
  </w:style>
  <w:style w:type="character" w:customStyle="1" w:styleId="inothercurrency">
    <w:name w:val="in_other_currency"/>
    <w:basedOn w:val="DefaultParagraphFont"/>
    <w:rsid w:val="00254665"/>
  </w:style>
  <w:style w:type="character" w:styleId="Hyperlink">
    <w:name w:val="Hyperlink"/>
    <w:basedOn w:val="DefaultParagraphFont"/>
    <w:uiPriority w:val="99"/>
    <w:semiHidden/>
    <w:unhideWhenUsed/>
    <w:rsid w:val="00254665"/>
    <w:rPr>
      <w:color w:val="0000FF"/>
      <w:u w:val="single"/>
    </w:rPr>
  </w:style>
  <w:style w:type="character" w:customStyle="1" w:styleId="redlight">
    <w:name w:val="red_light"/>
    <w:basedOn w:val="DefaultParagraphFont"/>
    <w:rsid w:val="00254665"/>
  </w:style>
  <w:style w:type="character" w:customStyle="1" w:styleId="roselight">
    <w:name w:val="rose_light"/>
    <w:basedOn w:val="DefaultParagraphFont"/>
    <w:rsid w:val="00254665"/>
  </w:style>
  <w:style w:type="table" w:styleId="TableGrid">
    <w:name w:val="Table Grid"/>
    <w:basedOn w:val="TableNormal"/>
    <w:uiPriority w:val="39"/>
    <w:rsid w:val="00274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5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0E8"/>
  </w:style>
  <w:style w:type="paragraph" w:styleId="Footer">
    <w:name w:val="footer"/>
    <w:basedOn w:val="Normal"/>
    <w:link w:val="FooterChar"/>
    <w:uiPriority w:val="99"/>
    <w:unhideWhenUsed/>
    <w:rsid w:val="005D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0E8"/>
  </w:style>
  <w:style w:type="character" w:styleId="Emphasis">
    <w:name w:val="Emphasis"/>
    <w:basedOn w:val="DefaultParagraphFont"/>
    <w:uiPriority w:val="20"/>
    <w:qFormat/>
    <w:rsid w:val="00050D7C"/>
    <w:rPr>
      <w:i/>
      <w:iCs/>
    </w:rPr>
  </w:style>
  <w:style w:type="paragraph" w:styleId="ListParagraph">
    <w:name w:val="List Paragraph"/>
    <w:basedOn w:val="Normal"/>
    <w:uiPriority w:val="34"/>
    <w:qFormat/>
    <w:rsid w:val="00370E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mbeo.com/cost-of-living/city-estimator/in/Alexandria-V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numbeo.com/cost-of-living/rankings_current.jsp"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1"/>
            <c:dispEq val="1"/>
            <c:trendlineLbl>
              <c:layout>
                <c:manualLayout>
                  <c:x val="-0.12436141684821052"/>
                  <c:y val="-0.1057068735973220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t>y = 1397.6x - 2208.4</a:t>
                    </a:r>
                    <a:br>
                      <a:rPr lang="en-US" sz="1200" baseline="0"/>
                    </a:br>
                    <a:r>
                      <a:rPr lang="en-US" sz="1200" baseline="0"/>
                      <a:t>R² = 0.788</a:t>
                    </a:r>
                    <a:endParaRPr lang="en-US" sz="1200"/>
                  </a:p>
                </c:rich>
              </c:tx>
              <c:numFmt formatCode="General" sourceLinked="0"/>
              <c:spPr>
                <a:noFill/>
                <a:ln>
                  <a:noFill/>
                </a:ln>
                <a:effectLst/>
              </c:spPr>
            </c:trendlineLbl>
          </c:trendline>
          <c:xVal>
            <c:numRef>
              <c:f>Sheet1!$A$2:$A$6</c:f>
              <c:numCache>
                <c:formatCode>General</c:formatCode>
                <c:ptCount val="5"/>
                <c:pt idx="0">
                  <c:v>1</c:v>
                </c:pt>
                <c:pt idx="1">
                  <c:v>2</c:v>
                </c:pt>
                <c:pt idx="2">
                  <c:v>3</c:v>
                </c:pt>
                <c:pt idx="3">
                  <c:v>4</c:v>
                </c:pt>
                <c:pt idx="4">
                  <c:v>5</c:v>
                </c:pt>
              </c:numCache>
            </c:numRef>
          </c:xVal>
          <c:yVal>
            <c:numRef>
              <c:f>Sheet1!$B$2:$B$6</c:f>
              <c:numCache>
                <c:formatCode>General</c:formatCode>
                <c:ptCount val="5"/>
                <c:pt idx="0">
                  <c:v>152.86000000000001</c:v>
                </c:pt>
                <c:pt idx="1">
                  <c:v>54.17</c:v>
                </c:pt>
                <c:pt idx="2">
                  <c:v>1548.75</c:v>
                </c:pt>
                <c:pt idx="3">
                  <c:v>1996.36</c:v>
                </c:pt>
                <c:pt idx="4">
                  <c:v>6169.79</c:v>
                </c:pt>
              </c:numCache>
            </c:numRef>
          </c:yVal>
          <c:smooth val="0"/>
          <c:extLst>
            <c:ext xmlns:c16="http://schemas.microsoft.com/office/drawing/2014/chart" uri="{C3380CC4-5D6E-409C-BE32-E72D297353CC}">
              <c16:uniqueId val="{00000001-ACD4-4E8F-AE4F-16001EABD73F}"/>
            </c:ext>
          </c:extLst>
        </c:ser>
        <c:dLbls>
          <c:showLegendKey val="0"/>
          <c:showVal val="1"/>
          <c:showCatName val="0"/>
          <c:showSerName val="0"/>
          <c:showPercent val="0"/>
          <c:showBubbleSize val="0"/>
        </c:dLbls>
        <c:axId val="390835584"/>
        <c:axId val="356232576"/>
      </c:scatterChart>
      <c:valAx>
        <c:axId val="390835584"/>
        <c:scaling>
          <c:orientation val="minMax"/>
        </c:scaling>
        <c:delete val="0"/>
        <c:axPos val="b"/>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Variables</a:t>
                </a:r>
              </a:p>
            </c:rich>
          </c:tx>
          <c:overlay val="0"/>
          <c:spPr>
            <a:noFill/>
            <a:ln>
              <a:noFill/>
            </a:ln>
            <a:effectLst/>
          </c:sp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232576"/>
        <c:crosses val="autoZero"/>
        <c:crossBetween val="midCat"/>
      </c:valAx>
      <c:valAx>
        <c:axId val="356232576"/>
        <c:scaling>
          <c:orientation val="minMax"/>
          <c:max val="7000"/>
          <c:min val="0"/>
        </c:scaling>
        <c:delete val="0"/>
        <c:axPos val="l"/>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1"/>
                  <a:t>costs associated(USD)</a:t>
                </a:r>
              </a:p>
            </c:rich>
          </c:tx>
          <c:layout>
            <c:manualLayout>
              <c:xMode val="edge"/>
              <c:yMode val="edge"/>
              <c:x val="2.6522001205545508E-2"/>
              <c:y val="0.24813846095325046"/>
            </c:manualLayout>
          </c:layout>
          <c:overlay val="0"/>
          <c:spPr>
            <a:noFill/>
            <a:ln>
              <a:noFill/>
            </a:ln>
            <a:effectLst/>
          </c:sp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835584"/>
        <c:crosses val="autoZero"/>
        <c:crossBetween val="midCat"/>
        <c:majorUnit val="5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2020-11-10T07:00:00Z</dcterms:created>
  <dcterms:modified xsi:type="dcterms:W3CDTF">2020-11-10T07:00:00Z</dcterms:modified>
</cp:coreProperties>
</file>